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spacing w:before="0" w:beforeAutospacing="0" w:afterLines="50" w:afterAutospacing="0" w:line="360" w:lineRule="exact"/>
        <w:ind w:firstLine="643" w:firstLineChars="200"/>
        <w:jc w:val="center"/>
        <w:rPr>
          <w:rFonts w:ascii="宋体" w:hAnsi="宋体" w:eastAsia="仿宋" w:cs="宋体"/>
          <w:b/>
          <w:sz w:val="32"/>
          <w:szCs w:val="32"/>
        </w:rPr>
      </w:pPr>
      <w:r>
        <w:rPr>
          <w:rFonts w:ascii="宋体" w:hAnsi="宋体" w:eastAsia="仿宋" w:cs="宋体"/>
          <w:b/>
          <w:sz w:val="32"/>
          <w:szCs w:val="32"/>
        </w:rPr>
        <w:t>长庆油田分公司</w:t>
      </w:r>
      <w:r>
        <w:rPr>
          <w:rFonts w:hint="eastAsia" w:ascii="宋体" w:hAnsi="宋体" w:eastAsia="仿宋" w:cs="宋体"/>
          <w:b/>
          <w:sz w:val="32"/>
          <w:szCs w:val="32"/>
        </w:rPr>
        <w:t>第</w:t>
      </w:r>
      <w:r>
        <w:rPr>
          <w:rFonts w:hint="eastAsia" w:eastAsia="仿宋" w:cs="宋体"/>
          <w:b/>
          <w:sz w:val="32"/>
          <w:szCs w:val="32"/>
          <w:lang w:eastAsia="zh-CN"/>
        </w:rPr>
        <w:t>八</w:t>
      </w:r>
      <w:r>
        <w:rPr>
          <w:rFonts w:hint="eastAsia" w:ascii="宋体" w:hAnsi="宋体" w:eastAsia="仿宋" w:cs="宋体"/>
          <w:b/>
          <w:sz w:val="32"/>
          <w:szCs w:val="32"/>
        </w:rPr>
        <w:t>采油厂</w:t>
      </w:r>
    </w:p>
    <w:p>
      <w:pPr>
        <w:pStyle w:val="8"/>
        <w:spacing w:before="0" w:beforeAutospacing="0" w:afterLines="50" w:afterAutospacing="0" w:line="360" w:lineRule="exact"/>
        <w:ind w:firstLine="643" w:firstLineChars="200"/>
        <w:jc w:val="center"/>
        <w:rPr>
          <w:rFonts w:hint="eastAsia" w:ascii="宋体" w:hAnsi="宋体" w:eastAsia="仿宋" w:cs="宋体"/>
          <w:b/>
          <w:sz w:val="32"/>
          <w:szCs w:val="32"/>
          <w:lang w:val="en-US" w:eastAsia="zh-CN"/>
        </w:rPr>
      </w:pPr>
      <w:r>
        <w:rPr>
          <w:rFonts w:hint="eastAsia" w:ascii="宋体" w:hAnsi="宋体" w:eastAsia="仿宋" w:cs="宋体"/>
          <w:b/>
          <w:sz w:val="32"/>
          <w:szCs w:val="32"/>
          <w:lang w:val="en-US" w:eastAsia="zh-CN"/>
        </w:rPr>
        <w:t>吴十一接转注水站及站外管线工程</w:t>
      </w:r>
    </w:p>
    <w:p>
      <w:pPr>
        <w:pStyle w:val="8"/>
        <w:spacing w:before="0" w:beforeAutospacing="0" w:afterLines="50" w:afterAutospacing="0" w:line="360" w:lineRule="exact"/>
        <w:ind w:firstLine="643" w:firstLineChars="200"/>
        <w:jc w:val="center"/>
        <w:rPr>
          <w:rFonts w:ascii="宋体" w:hAnsi="宋体" w:eastAsia="仿宋" w:cs="宋体"/>
          <w:b/>
          <w:sz w:val="32"/>
          <w:szCs w:val="32"/>
        </w:rPr>
      </w:pPr>
      <w:r>
        <w:rPr>
          <w:rFonts w:ascii="宋体" w:hAnsi="宋体" w:eastAsia="仿宋" w:cs="宋体"/>
          <w:b/>
          <w:sz w:val="32"/>
          <w:szCs w:val="32"/>
        </w:rPr>
        <w:t>竣工环境保护验收意见</w:t>
      </w:r>
    </w:p>
    <w:p>
      <w:pPr>
        <w:pStyle w:val="8"/>
        <w:spacing w:before="0" w:beforeAutospacing="0" w:after="0" w:afterAutospacing="0" w:line="360" w:lineRule="auto"/>
        <w:ind w:firstLine="480" w:firstLineChars="200"/>
        <w:jc w:val="both"/>
        <w:rPr>
          <w:rFonts w:cs="Times New Roman" w:asciiTheme="minorEastAsia" w:hAnsiTheme="minorEastAsia" w:eastAsiaTheme="minorEastAsia"/>
          <w:color w:val="auto"/>
        </w:rPr>
      </w:pPr>
      <w:r>
        <w:rPr>
          <w:rFonts w:cs="Times New Roman" w:asciiTheme="minorEastAsia" w:hAnsiTheme="minorEastAsia" w:eastAsiaTheme="minorEastAsia"/>
          <w:color w:val="auto"/>
          <w:highlight w:val="none"/>
        </w:rPr>
        <w:t>20</w:t>
      </w:r>
      <w:r>
        <w:rPr>
          <w:rFonts w:hint="eastAsia" w:cs="Times New Roman" w:asciiTheme="minorEastAsia" w:hAnsiTheme="minorEastAsia" w:eastAsiaTheme="minorEastAsia"/>
          <w:color w:val="auto"/>
          <w:highlight w:val="none"/>
        </w:rPr>
        <w:t>2</w:t>
      </w:r>
      <w:r>
        <w:rPr>
          <w:rFonts w:hint="eastAsia" w:cs="Times New Roman" w:asciiTheme="minorEastAsia" w:hAnsiTheme="minorEastAsia" w:eastAsiaTheme="minorEastAsia"/>
          <w:color w:val="auto"/>
          <w:highlight w:val="none"/>
          <w:lang w:val="en-US" w:eastAsia="zh-CN"/>
        </w:rPr>
        <w:t>1</w:t>
      </w:r>
      <w:r>
        <w:rPr>
          <w:rFonts w:cs="Times New Roman" w:asciiTheme="minorEastAsia" w:hAnsiTheme="minorEastAsia" w:eastAsiaTheme="minorEastAsia"/>
          <w:color w:val="auto"/>
          <w:highlight w:val="none"/>
        </w:rPr>
        <w:t>年</w:t>
      </w:r>
      <w:r>
        <w:rPr>
          <w:rFonts w:hint="eastAsia" w:cs="Times New Roman" w:asciiTheme="minorEastAsia" w:hAnsiTheme="minorEastAsia" w:eastAsiaTheme="minorEastAsia"/>
          <w:color w:val="auto"/>
          <w:highlight w:val="none"/>
          <w:lang w:val="en-US" w:eastAsia="zh-CN"/>
        </w:rPr>
        <w:t>12</w:t>
      </w:r>
      <w:r>
        <w:rPr>
          <w:rFonts w:cs="Times New Roman" w:asciiTheme="minorEastAsia" w:hAnsiTheme="minorEastAsia" w:eastAsiaTheme="minorEastAsia"/>
          <w:color w:val="auto"/>
          <w:highlight w:val="none"/>
        </w:rPr>
        <w:t>月</w:t>
      </w:r>
      <w:r>
        <w:rPr>
          <w:rFonts w:hint="eastAsia" w:cs="Times New Roman" w:asciiTheme="minorEastAsia" w:hAnsiTheme="minorEastAsia" w:eastAsiaTheme="minorEastAsia"/>
          <w:color w:val="auto"/>
          <w:highlight w:val="none"/>
          <w:lang w:val="en-US" w:eastAsia="zh-CN"/>
        </w:rPr>
        <w:t>25</w:t>
      </w:r>
      <w:r>
        <w:rPr>
          <w:rFonts w:cs="Times New Roman" w:asciiTheme="minorEastAsia" w:hAnsiTheme="minorEastAsia" w:eastAsiaTheme="minorEastAsia"/>
          <w:color w:val="auto"/>
          <w:highlight w:val="none"/>
        </w:rPr>
        <w:t>日，</w:t>
      </w:r>
      <w:r>
        <w:rPr>
          <w:rFonts w:cs="Times New Roman" w:asciiTheme="minorEastAsia" w:hAnsiTheme="minorEastAsia" w:eastAsiaTheme="minorEastAsia"/>
          <w:color w:val="auto"/>
        </w:rPr>
        <w:t>长庆油田分公司第</w:t>
      </w:r>
      <w:r>
        <w:rPr>
          <w:rFonts w:hint="eastAsia" w:cs="Times New Roman" w:asciiTheme="minorEastAsia" w:hAnsiTheme="minorEastAsia" w:eastAsiaTheme="minorEastAsia"/>
          <w:color w:val="auto"/>
          <w:lang w:eastAsia="zh-CN"/>
        </w:rPr>
        <w:t>八</w:t>
      </w:r>
      <w:r>
        <w:rPr>
          <w:rFonts w:cs="Times New Roman" w:asciiTheme="minorEastAsia" w:hAnsiTheme="minorEastAsia" w:eastAsiaTheme="minorEastAsia"/>
          <w:color w:val="auto"/>
        </w:rPr>
        <w:t>采油厂主持召开了《</w:t>
      </w:r>
      <w:r>
        <w:rPr>
          <w:rFonts w:hint="eastAsia" w:ascii="宋体" w:hAnsi="宋体" w:eastAsia="宋体" w:cs="Times New Roman"/>
          <w:color w:val="000000"/>
          <w:sz w:val="24"/>
          <w:szCs w:val="24"/>
          <w:lang w:val="en-US" w:eastAsia="zh-CN"/>
        </w:rPr>
        <w:t>吴十一接转注水站及站外管线工程</w:t>
      </w:r>
      <w:r>
        <w:rPr>
          <w:rFonts w:cs="Times New Roman" w:asciiTheme="minorEastAsia" w:hAnsiTheme="minorEastAsia" w:eastAsiaTheme="minorEastAsia"/>
          <w:color w:val="auto"/>
        </w:rPr>
        <w:t>》竣工环境保护验收会。参加会议的有验收报告编制单位（</w:t>
      </w:r>
      <w:r>
        <w:rPr>
          <w:rFonts w:hint="eastAsia" w:cs="Times New Roman" w:asciiTheme="minorEastAsia" w:hAnsiTheme="minorEastAsia" w:eastAsiaTheme="minorEastAsia"/>
          <w:color w:val="auto"/>
        </w:rPr>
        <w:t>陕西企科环境技术有限公司</w:t>
      </w:r>
      <w:r>
        <w:rPr>
          <w:rFonts w:cs="Times New Roman" w:asciiTheme="minorEastAsia" w:hAnsiTheme="minorEastAsia" w:eastAsiaTheme="minorEastAsia"/>
          <w:color w:val="auto"/>
        </w:rPr>
        <w:t>）的代表及3名特邀专家共</w:t>
      </w:r>
      <w:r>
        <w:rPr>
          <w:rFonts w:cs="Times New Roman" w:asciiTheme="minorEastAsia" w:hAnsiTheme="minorEastAsia" w:eastAsiaTheme="minorEastAsia"/>
          <w:color w:val="auto"/>
          <w:highlight w:val="none"/>
        </w:rPr>
        <w:t>计</w:t>
      </w:r>
      <w:r>
        <w:rPr>
          <w:rFonts w:hint="eastAsia" w:cs="Times New Roman" w:asciiTheme="minorEastAsia" w:hAnsiTheme="minorEastAsia" w:eastAsiaTheme="minorEastAsia"/>
          <w:color w:val="auto"/>
          <w:highlight w:val="none"/>
        </w:rPr>
        <w:t>6</w:t>
      </w:r>
      <w:r>
        <w:rPr>
          <w:rFonts w:cs="Times New Roman" w:asciiTheme="minorEastAsia" w:hAnsiTheme="minorEastAsia" w:eastAsiaTheme="minorEastAsia"/>
          <w:color w:val="auto"/>
          <w:highlight w:val="none"/>
        </w:rPr>
        <w:t>人</w:t>
      </w:r>
      <w:r>
        <w:rPr>
          <w:rFonts w:cs="Times New Roman" w:asciiTheme="minorEastAsia" w:hAnsiTheme="minorEastAsia" w:eastAsiaTheme="minorEastAsia"/>
          <w:color w:val="auto"/>
        </w:rPr>
        <w:t>，会议成立了验收组（名单附后）。</w:t>
      </w:r>
    </w:p>
    <w:p>
      <w:pPr>
        <w:pStyle w:val="8"/>
        <w:spacing w:before="0" w:beforeAutospacing="0" w:after="0" w:afterAutospacing="0" w:line="360" w:lineRule="auto"/>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会前，验收组对该项目环境保护措施的落实情况进行了现场核查，会议听取了相关单位对项目环境保护工作执行情况的介绍和项目竣工环境保护验收监测报告的汇报，</w:t>
      </w:r>
      <w:r>
        <w:rPr>
          <w:rFonts w:cs="Times New Roman" w:asciiTheme="minorEastAsia" w:hAnsiTheme="minorEastAsia" w:eastAsiaTheme="minorEastAsia"/>
        </w:rPr>
        <w:t>审阅并核实了有关资料，经过认真讨论，形成验收组意见如下：</w:t>
      </w:r>
    </w:p>
    <w:p>
      <w:pPr>
        <w:pStyle w:val="8"/>
        <w:spacing w:before="0" w:beforeAutospacing="0" w:after="0" w:afterAutospacing="0" w:line="360" w:lineRule="auto"/>
        <w:ind w:firstLine="480" w:firstLineChars="200"/>
        <w:jc w:val="both"/>
        <w:outlineLvl w:val="0"/>
        <w:rPr>
          <w:rFonts w:ascii="Times New Roman" w:hAnsi="Times New Roman" w:cs="Times New Roman"/>
        </w:rPr>
      </w:pPr>
      <w:r>
        <w:rPr>
          <w:rFonts w:ascii="Times New Roman" w:cs="Times New Roman"/>
        </w:rPr>
        <w:t>一、工程建设基本情况</w:t>
      </w:r>
    </w:p>
    <w:p>
      <w:pPr>
        <w:pStyle w:val="8"/>
        <w:spacing w:before="0" w:beforeAutospacing="0" w:after="0" w:afterAutospacing="0" w:line="360" w:lineRule="auto"/>
        <w:ind w:firstLine="480" w:firstLineChars="200"/>
        <w:jc w:val="both"/>
        <w:outlineLvl w:val="0"/>
        <w:rPr>
          <w:rFonts w:ascii="Times New Roman" w:hAnsi="Times New Roman" w:cs="Times New Roman"/>
        </w:rPr>
      </w:pPr>
      <w:r>
        <w:rPr>
          <w:rFonts w:ascii="Times New Roman" w:cs="Times New Roman"/>
        </w:rPr>
        <w:t>（一）建设地点、规模、主要建设内容</w:t>
      </w:r>
    </w:p>
    <w:p>
      <w:pPr>
        <w:widowControl w:val="0"/>
        <w:adjustRightInd/>
        <w:snapToGrid/>
        <w:spacing w:after="0" w:line="360" w:lineRule="auto"/>
        <w:ind w:right="-11" w:firstLine="480" w:firstLineChars="200"/>
        <w:jc w:val="left"/>
        <w:rPr>
          <w:rFonts w:hint="eastAsia" w:ascii="Times New Roman" w:hAnsi="Times New Roman" w:eastAsia="宋体"/>
          <w:kern w:val="2"/>
          <w:sz w:val="24"/>
          <w:szCs w:val="24"/>
          <w:lang w:val="zh-CN" w:eastAsia="zh-CN"/>
        </w:rPr>
      </w:pPr>
      <w:r>
        <w:rPr>
          <w:rFonts w:hint="eastAsia" w:ascii="Times New Roman" w:hAnsi="Times New Roman" w:eastAsia="宋体"/>
          <w:kern w:val="2"/>
          <w:sz w:val="24"/>
          <w:szCs w:val="24"/>
          <w:lang w:val="en-US" w:eastAsia="zh-CN"/>
        </w:rPr>
        <w:t>吴十一</w:t>
      </w:r>
      <w:r>
        <w:rPr>
          <w:rFonts w:hint="default" w:ascii="Times New Roman" w:hAnsi="Times New Roman" w:eastAsia="宋体"/>
          <w:kern w:val="2"/>
          <w:sz w:val="24"/>
          <w:szCs w:val="24"/>
          <w:lang w:val="en-US" w:eastAsia="zh-CN"/>
        </w:rPr>
        <w:t>接转注水站</w:t>
      </w:r>
      <w:r>
        <w:rPr>
          <w:rFonts w:hint="eastAsia" w:ascii="Times New Roman" w:hAnsi="Times New Roman" w:eastAsia="宋体"/>
          <w:kern w:val="2"/>
          <w:sz w:val="24"/>
          <w:szCs w:val="24"/>
          <w:lang w:val="en-US" w:eastAsia="zh-CN"/>
        </w:rPr>
        <w:t>及站外管线工程</w:t>
      </w:r>
      <w:r>
        <w:rPr>
          <w:rFonts w:hint="default" w:ascii="Times New Roman" w:hAnsi="Times New Roman" w:eastAsia="宋体"/>
          <w:kern w:val="2"/>
          <w:sz w:val="24"/>
          <w:szCs w:val="24"/>
          <w:lang w:val="en-US" w:eastAsia="zh-CN"/>
        </w:rPr>
        <w:t>项目位于</w:t>
      </w:r>
      <w:r>
        <w:rPr>
          <w:rFonts w:hint="eastAsia" w:ascii="Times New Roman" w:hAnsi="Times New Roman" w:eastAsia="宋体"/>
          <w:kern w:val="2"/>
          <w:sz w:val="24"/>
          <w:szCs w:val="24"/>
          <w:lang w:val="en-US" w:eastAsia="zh-CN"/>
        </w:rPr>
        <w:t>陕西省延安市吴起县铁边城镇境内</w:t>
      </w:r>
      <w:r>
        <w:rPr>
          <w:rFonts w:hint="default" w:ascii="Times New Roman" w:hAnsi="Times New Roman" w:eastAsia="宋体"/>
          <w:kern w:val="2"/>
          <w:sz w:val="24"/>
          <w:szCs w:val="24"/>
          <w:lang w:val="en-US" w:eastAsia="zh-CN"/>
        </w:rPr>
        <w:t>，设计</w:t>
      </w:r>
      <w:r>
        <w:rPr>
          <w:rFonts w:hint="eastAsia" w:ascii="Times New Roman" w:hAnsi="Times New Roman" w:eastAsia="宋体"/>
          <w:kern w:val="2"/>
          <w:sz w:val="24"/>
          <w:szCs w:val="24"/>
          <w:lang w:val="en-US" w:eastAsia="zh-CN"/>
        </w:rPr>
        <w:t>接转原油450m</w:t>
      </w:r>
      <w:r>
        <w:rPr>
          <w:rFonts w:hint="eastAsia" w:ascii="Times New Roman" w:hAnsi="Times New Roman" w:eastAsia="宋体"/>
          <w:kern w:val="2"/>
          <w:sz w:val="24"/>
          <w:szCs w:val="24"/>
          <w:vertAlign w:val="superscript"/>
          <w:lang w:val="en-US" w:eastAsia="zh-CN"/>
        </w:rPr>
        <w:t>3</w:t>
      </w:r>
      <w:r>
        <w:rPr>
          <w:rFonts w:hint="eastAsia" w:ascii="Times New Roman" w:hAnsi="Times New Roman" w:eastAsia="宋体"/>
          <w:kern w:val="2"/>
          <w:sz w:val="24"/>
          <w:szCs w:val="24"/>
          <w:lang w:val="en-US" w:eastAsia="zh-CN"/>
        </w:rPr>
        <w:t>/d（16.425×104t/a），其中净化油240m</w:t>
      </w:r>
      <w:r>
        <w:rPr>
          <w:rFonts w:hint="eastAsia" w:ascii="Times New Roman" w:hAnsi="Times New Roman" w:eastAsia="宋体"/>
          <w:kern w:val="2"/>
          <w:sz w:val="24"/>
          <w:szCs w:val="24"/>
          <w:vertAlign w:val="superscript"/>
          <w:lang w:val="en-US" w:eastAsia="zh-CN"/>
        </w:rPr>
        <w:t>3</w:t>
      </w:r>
      <w:r>
        <w:rPr>
          <w:rFonts w:hint="eastAsia" w:ascii="Times New Roman" w:hAnsi="Times New Roman" w:eastAsia="宋体"/>
          <w:kern w:val="2"/>
          <w:sz w:val="24"/>
          <w:szCs w:val="24"/>
          <w:lang w:val="en-US" w:eastAsia="zh-CN"/>
        </w:rPr>
        <w:t>/d，含水油210m</w:t>
      </w:r>
      <w:r>
        <w:rPr>
          <w:rFonts w:hint="eastAsia" w:ascii="Times New Roman" w:hAnsi="Times New Roman" w:eastAsia="宋体"/>
          <w:kern w:val="2"/>
          <w:sz w:val="24"/>
          <w:szCs w:val="24"/>
          <w:vertAlign w:val="superscript"/>
          <w:lang w:val="en-US" w:eastAsia="zh-CN"/>
        </w:rPr>
        <w:t>3</w:t>
      </w:r>
      <w:r>
        <w:rPr>
          <w:rFonts w:hint="eastAsia" w:ascii="Times New Roman" w:hAnsi="Times New Roman" w:eastAsia="宋体"/>
          <w:kern w:val="2"/>
          <w:sz w:val="24"/>
          <w:szCs w:val="24"/>
          <w:lang w:val="en-US" w:eastAsia="zh-CN"/>
        </w:rPr>
        <w:t>/d。新建采出水回注系统，与吴十一转合建，设计规模为200m</w:t>
      </w:r>
      <w:r>
        <w:rPr>
          <w:rFonts w:hint="eastAsia" w:ascii="Times New Roman" w:hAnsi="Times New Roman" w:eastAsia="宋体"/>
          <w:kern w:val="2"/>
          <w:sz w:val="24"/>
          <w:szCs w:val="24"/>
          <w:vertAlign w:val="superscript"/>
          <w:lang w:val="en-US" w:eastAsia="zh-CN"/>
        </w:rPr>
        <w:t>3</w:t>
      </w:r>
      <w:r>
        <w:rPr>
          <w:rFonts w:hint="eastAsia" w:ascii="Times New Roman" w:hAnsi="Times New Roman" w:eastAsia="宋体"/>
          <w:kern w:val="2"/>
          <w:sz w:val="24"/>
          <w:szCs w:val="24"/>
          <w:lang w:val="en-US" w:eastAsia="zh-CN"/>
        </w:rPr>
        <w:t>/d。该站集输工艺功能主要包括原油加热、油气分离、原油脱水、采出水处理及回注、净化油外输等</w:t>
      </w:r>
      <w:r>
        <w:rPr>
          <w:rFonts w:hint="default" w:ascii="Times New Roman" w:hAnsi="Times New Roman" w:eastAsia="宋体"/>
          <w:kern w:val="2"/>
          <w:sz w:val="24"/>
          <w:szCs w:val="24"/>
          <w:lang w:val="en-US" w:eastAsia="zh-CN"/>
        </w:rPr>
        <w:t>。</w:t>
      </w:r>
    </w:p>
    <w:p>
      <w:pPr>
        <w:pStyle w:val="8"/>
        <w:spacing w:before="0" w:beforeAutospacing="0" w:after="0" w:afterAutospacing="0" w:line="360" w:lineRule="auto"/>
        <w:ind w:firstLine="480" w:firstLineChars="200"/>
        <w:jc w:val="both"/>
        <w:outlineLvl w:val="0"/>
        <w:rPr>
          <w:rFonts w:ascii="Times New Roman" w:cs="Times New Roman"/>
        </w:rPr>
      </w:pPr>
      <w:r>
        <w:rPr>
          <w:rFonts w:ascii="Times New Roman" w:cs="Times New Roman"/>
        </w:rPr>
        <w:t>（二）建设过程及环保审批情况</w:t>
      </w:r>
    </w:p>
    <w:p>
      <w:pPr>
        <w:widowControl w:val="0"/>
        <w:adjustRightInd/>
        <w:snapToGrid/>
        <w:spacing w:after="0" w:line="360" w:lineRule="auto"/>
        <w:ind w:right="-11" w:firstLine="480" w:firstLineChars="200"/>
        <w:jc w:val="both"/>
        <w:rPr>
          <w:rFonts w:ascii="宋体" w:hAnsi="宋体" w:eastAsia="宋体"/>
          <w:kern w:val="2"/>
          <w:sz w:val="24"/>
          <w:szCs w:val="24"/>
        </w:rPr>
      </w:pPr>
      <w:r>
        <w:rPr>
          <w:rFonts w:ascii="宋体" w:hAnsi="宋体" w:eastAsia="宋体"/>
          <w:kern w:val="2"/>
          <w:sz w:val="24"/>
          <w:szCs w:val="24"/>
        </w:rPr>
        <w:t>2019年</w:t>
      </w:r>
      <w:r>
        <w:rPr>
          <w:rFonts w:hint="eastAsia" w:ascii="宋体" w:hAnsi="宋体" w:eastAsia="宋体" w:cs="Times New Roman"/>
          <w:kern w:val="2"/>
          <w:sz w:val="24"/>
          <w:szCs w:val="24"/>
          <w:lang w:val="en-US" w:eastAsia="zh-CN"/>
        </w:rPr>
        <w:t>4</w:t>
      </w:r>
      <w:r>
        <w:rPr>
          <w:rFonts w:hint="eastAsia" w:ascii="宋体" w:hAnsi="宋体" w:eastAsia="宋体" w:cs="Times New Roman"/>
          <w:kern w:val="2"/>
          <w:sz w:val="24"/>
          <w:szCs w:val="24"/>
        </w:rPr>
        <w:t>月，长庆油田分公司第</w:t>
      </w:r>
      <w:r>
        <w:rPr>
          <w:rFonts w:hint="eastAsia" w:ascii="宋体" w:hAnsi="宋体" w:eastAsia="宋体" w:cs="Times New Roman"/>
          <w:kern w:val="2"/>
          <w:sz w:val="24"/>
          <w:szCs w:val="24"/>
          <w:lang w:eastAsia="zh-CN"/>
        </w:rPr>
        <w:t>八</w:t>
      </w:r>
      <w:r>
        <w:rPr>
          <w:rFonts w:hint="eastAsia" w:ascii="宋体" w:hAnsi="宋体" w:eastAsia="宋体" w:cs="Times New Roman"/>
          <w:kern w:val="2"/>
          <w:sz w:val="24"/>
          <w:szCs w:val="24"/>
        </w:rPr>
        <w:t>采油厂委托</w:t>
      </w:r>
      <w:r>
        <w:rPr>
          <w:rFonts w:hint="default" w:ascii="宋体" w:hAnsi="宋体" w:eastAsia="宋体" w:cs="Times New Roman"/>
          <w:kern w:val="2"/>
          <w:sz w:val="24"/>
          <w:szCs w:val="24"/>
        </w:rPr>
        <w:t>重庆九天环境影响评价有限公司</w:t>
      </w:r>
      <w:r>
        <w:rPr>
          <w:rFonts w:hint="eastAsia" w:ascii="宋体" w:hAnsi="宋体" w:eastAsia="宋体" w:cs="Times New Roman"/>
          <w:kern w:val="2"/>
          <w:sz w:val="24"/>
          <w:szCs w:val="24"/>
        </w:rPr>
        <w:t>对该项目进行了环境影响评价，并编写了环境影响报告表。2019年</w:t>
      </w:r>
      <w:r>
        <w:rPr>
          <w:rFonts w:hint="eastAsia" w:ascii="宋体" w:hAnsi="宋体" w:eastAsia="宋体" w:cs="Times New Roman"/>
          <w:kern w:val="2"/>
          <w:sz w:val="24"/>
          <w:szCs w:val="24"/>
          <w:lang w:val="en-US" w:eastAsia="zh-CN"/>
        </w:rPr>
        <w:t>7</w:t>
      </w:r>
      <w:r>
        <w:rPr>
          <w:rFonts w:hint="eastAsia" w:ascii="宋体" w:hAnsi="宋体" w:eastAsia="宋体" w:cs="Times New Roman"/>
          <w:kern w:val="2"/>
          <w:sz w:val="24"/>
          <w:szCs w:val="24"/>
        </w:rPr>
        <w:t>月</w:t>
      </w:r>
      <w:r>
        <w:rPr>
          <w:rFonts w:hint="eastAsia" w:ascii="宋体" w:hAnsi="宋体" w:eastAsia="宋体" w:cs="Times New Roman"/>
          <w:kern w:val="2"/>
          <w:sz w:val="24"/>
          <w:szCs w:val="24"/>
          <w:lang w:val="en-US" w:eastAsia="zh-CN"/>
        </w:rPr>
        <w:t>15</w:t>
      </w:r>
      <w:r>
        <w:rPr>
          <w:rFonts w:hint="eastAsia" w:ascii="宋体" w:hAnsi="宋体" w:eastAsia="宋体" w:cs="Times New Roman"/>
          <w:kern w:val="2"/>
          <w:sz w:val="24"/>
          <w:szCs w:val="24"/>
        </w:rPr>
        <w:t>日，</w:t>
      </w:r>
      <w:r>
        <w:rPr>
          <w:rFonts w:hint="eastAsia" w:ascii="宋体" w:hAnsi="宋体" w:eastAsia="宋体" w:cs="Times New Roman"/>
          <w:kern w:val="2"/>
          <w:sz w:val="24"/>
          <w:szCs w:val="24"/>
          <w:lang w:eastAsia="zh-CN"/>
        </w:rPr>
        <w:t>延安市生态环境局吴起分局</w:t>
      </w:r>
      <w:r>
        <w:rPr>
          <w:rFonts w:ascii="宋体" w:hAnsi="宋体" w:eastAsia="宋体"/>
          <w:kern w:val="2"/>
          <w:sz w:val="24"/>
          <w:szCs w:val="24"/>
        </w:rPr>
        <w:t>以</w:t>
      </w:r>
      <w:r>
        <w:rPr>
          <w:rFonts w:hint="eastAsia" w:ascii="宋体" w:hAnsi="宋体" w:eastAsia="宋体"/>
          <w:kern w:val="2"/>
          <w:sz w:val="24"/>
          <w:szCs w:val="24"/>
          <w:lang w:eastAsia="zh-CN"/>
        </w:rPr>
        <w:t>吴</w:t>
      </w:r>
      <w:r>
        <w:rPr>
          <w:rFonts w:ascii="宋体" w:hAnsi="宋体" w:eastAsia="宋体"/>
          <w:kern w:val="2"/>
          <w:sz w:val="24"/>
          <w:szCs w:val="24"/>
        </w:rPr>
        <w:t>环</w:t>
      </w:r>
      <w:r>
        <w:rPr>
          <w:rFonts w:hint="eastAsia" w:ascii="宋体" w:hAnsi="宋体" w:eastAsia="宋体"/>
          <w:kern w:val="2"/>
          <w:sz w:val="24"/>
          <w:szCs w:val="24"/>
        </w:rPr>
        <w:t>批复〔</w:t>
      </w:r>
      <w:r>
        <w:rPr>
          <w:rFonts w:ascii="宋体" w:hAnsi="宋体" w:eastAsia="宋体"/>
          <w:kern w:val="2"/>
          <w:sz w:val="24"/>
          <w:szCs w:val="24"/>
        </w:rPr>
        <w:t>201</w:t>
      </w:r>
      <w:r>
        <w:rPr>
          <w:rFonts w:hint="eastAsia" w:ascii="宋体" w:hAnsi="宋体" w:eastAsia="宋体"/>
          <w:kern w:val="2"/>
          <w:sz w:val="24"/>
          <w:szCs w:val="24"/>
        </w:rPr>
        <w:t>9〕</w:t>
      </w:r>
      <w:r>
        <w:rPr>
          <w:rFonts w:hint="eastAsia" w:ascii="宋体" w:hAnsi="宋体" w:eastAsia="宋体"/>
          <w:kern w:val="2"/>
          <w:sz w:val="24"/>
          <w:szCs w:val="24"/>
          <w:lang w:val="en-US" w:eastAsia="zh-CN"/>
        </w:rPr>
        <w:t>41</w:t>
      </w:r>
      <w:r>
        <w:rPr>
          <w:rFonts w:ascii="宋体" w:hAnsi="宋体" w:eastAsia="宋体"/>
          <w:kern w:val="2"/>
          <w:sz w:val="24"/>
          <w:szCs w:val="24"/>
        </w:rPr>
        <w:t>号对该项目环境影响报告表予以审批，同意项目建设。该项目于2019年</w:t>
      </w:r>
      <w:r>
        <w:rPr>
          <w:rFonts w:hint="eastAsia" w:ascii="宋体" w:hAnsi="宋体" w:eastAsia="宋体"/>
          <w:kern w:val="2"/>
          <w:sz w:val="24"/>
          <w:szCs w:val="24"/>
          <w:lang w:val="en-US" w:eastAsia="zh-CN"/>
        </w:rPr>
        <w:t>8</w:t>
      </w:r>
      <w:r>
        <w:rPr>
          <w:rFonts w:ascii="宋体" w:hAnsi="宋体" w:eastAsia="宋体"/>
          <w:kern w:val="2"/>
          <w:sz w:val="24"/>
          <w:szCs w:val="24"/>
        </w:rPr>
        <w:t>月开工建设，于20</w:t>
      </w:r>
      <w:r>
        <w:rPr>
          <w:rFonts w:hint="eastAsia" w:ascii="宋体" w:hAnsi="宋体" w:eastAsia="宋体"/>
          <w:kern w:val="2"/>
          <w:sz w:val="24"/>
          <w:szCs w:val="24"/>
          <w:lang w:val="en-US" w:eastAsia="zh-CN"/>
        </w:rPr>
        <w:t>21</w:t>
      </w:r>
      <w:r>
        <w:rPr>
          <w:rFonts w:ascii="宋体" w:hAnsi="宋体" w:eastAsia="宋体"/>
          <w:kern w:val="2"/>
          <w:sz w:val="24"/>
          <w:szCs w:val="24"/>
        </w:rPr>
        <w:t>年</w:t>
      </w:r>
      <w:r>
        <w:rPr>
          <w:rFonts w:hint="eastAsia" w:ascii="宋体" w:hAnsi="宋体" w:eastAsia="宋体"/>
          <w:kern w:val="2"/>
          <w:sz w:val="24"/>
          <w:szCs w:val="24"/>
          <w:lang w:val="en-US" w:eastAsia="zh-CN"/>
        </w:rPr>
        <w:t>10</w:t>
      </w:r>
      <w:r>
        <w:rPr>
          <w:rFonts w:ascii="宋体" w:hAnsi="宋体" w:eastAsia="宋体"/>
          <w:kern w:val="2"/>
          <w:sz w:val="24"/>
          <w:szCs w:val="24"/>
        </w:rPr>
        <w:t>月建设完成，</w:t>
      </w:r>
      <w:r>
        <w:rPr>
          <w:rFonts w:hint="eastAsia" w:ascii="宋体" w:hAnsi="宋体" w:eastAsia="宋体"/>
          <w:kern w:val="2"/>
          <w:sz w:val="24"/>
          <w:szCs w:val="24"/>
        </w:rPr>
        <w:t>20</w:t>
      </w:r>
      <w:r>
        <w:rPr>
          <w:rFonts w:hint="eastAsia" w:ascii="宋体" w:hAnsi="宋体" w:eastAsia="宋体"/>
          <w:kern w:val="2"/>
          <w:sz w:val="24"/>
          <w:szCs w:val="24"/>
          <w:lang w:val="en-US" w:eastAsia="zh-CN"/>
        </w:rPr>
        <w:t>21</w:t>
      </w:r>
      <w:r>
        <w:rPr>
          <w:rFonts w:hint="eastAsia" w:ascii="宋体" w:hAnsi="宋体" w:eastAsia="宋体"/>
          <w:kern w:val="2"/>
          <w:sz w:val="24"/>
          <w:szCs w:val="24"/>
        </w:rPr>
        <w:t>年</w:t>
      </w:r>
      <w:r>
        <w:rPr>
          <w:rFonts w:hint="eastAsia" w:ascii="宋体" w:hAnsi="宋体" w:eastAsia="宋体"/>
          <w:kern w:val="2"/>
          <w:sz w:val="24"/>
          <w:szCs w:val="24"/>
          <w:lang w:val="en-US" w:eastAsia="zh-CN"/>
        </w:rPr>
        <w:t>12</w:t>
      </w:r>
      <w:r>
        <w:rPr>
          <w:rFonts w:hint="eastAsia" w:ascii="宋体" w:hAnsi="宋体" w:eastAsia="宋体"/>
          <w:kern w:val="2"/>
          <w:sz w:val="24"/>
          <w:szCs w:val="24"/>
        </w:rPr>
        <w:t>月投入试运行</w:t>
      </w:r>
      <w:r>
        <w:rPr>
          <w:rFonts w:ascii="宋体" w:hAnsi="宋体" w:eastAsia="宋体"/>
          <w:kern w:val="2"/>
          <w:sz w:val="24"/>
          <w:szCs w:val="24"/>
        </w:rPr>
        <w:t>。</w:t>
      </w:r>
    </w:p>
    <w:p>
      <w:pPr>
        <w:tabs>
          <w:tab w:val="left" w:pos="4305"/>
        </w:tabs>
        <w:spacing w:line="360" w:lineRule="auto"/>
        <w:ind w:firstLine="480" w:firstLineChars="200"/>
        <w:outlineLvl w:val="0"/>
        <w:rPr>
          <w:rFonts w:ascii="宋体" w:hAnsi="宋体" w:cs="宋体"/>
          <w:sz w:val="24"/>
          <w:szCs w:val="24"/>
        </w:rPr>
      </w:pPr>
      <w:r>
        <w:rPr>
          <w:rFonts w:hint="eastAsia" w:ascii="宋体" w:hAnsi="宋体" w:cs="宋体"/>
          <w:sz w:val="24"/>
          <w:szCs w:val="24"/>
        </w:rPr>
        <w:t>（三）投资情况</w:t>
      </w:r>
    </w:p>
    <w:p>
      <w:pPr>
        <w:widowControl w:val="0"/>
        <w:adjustRightInd/>
        <w:snapToGrid/>
        <w:spacing w:after="0" w:line="360" w:lineRule="auto"/>
        <w:ind w:right="-11" w:firstLine="480" w:firstLineChars="200"/>
        <w:jc w:val="left"/>
        <w:rPr>
          <w:rFonts w:hint="eastAsia" w:ascii="Times New Roman" w:hAnsi="Times New Roman" w:eastAsia="宋体"/>
          <w:kern w:val="2"/>
          <w:sz w:val="24"/>
          <w:szCs w:val="24"/>
          <w:lang w:val="zh-CN" w:eastAsia="zh-CN"/>
        </w:rPr>
      </w:pPr>
      <w:r>
        <w:rPr>
          <w:rFonts w:hint="default" w:ascii="Times New Roman" w:hAnsi="Times New Roman" w:eastAsia="宋体"/>
          <w:kern w:val="2"/>
          <w:sz w:val="24"/>
          <w:szCs w:val="24"/>
          <w:lang w:val="en-US" w:eastAsia="zh-CN"/>
        </w:rPr>
        <w:t>项目</w:t>
      </w:r>
      <w:r>
        <w:rPr>
          <w:rFonts w:hint="eastAsia" w:ascii="Times New Roman" w:hAnsi="Times New Roman" w:eastAsia="宋体"/>
          <w:kern w:val="2"/>
          <w:sz w:val="24"/>
          <w:szCs w:val="24"/>
          <w:lang w:val="en-US" w:eastAsia="zh-CN"/>
        </w:rPr>
        <w:t>实际</w:t>
      </w:r>
      <w:r>
        <w:rPr>
          <w:rFonts w:hint="default" w:ascii="Times New Roman" w:hAnsi="Times New Roman" w:eastAsia="宋体"/>
          <w:kern w:val="2"/>
          <w:sz w:val="24"/>
          <w:szCs w:val="24"/>
          <w:lang w:val="en-US" w:eastAsia="zh-CN"/>
        </w:rPr>
        <w:t>总投资为</w:t>
      </w:r>
      <w:r>
        <w:rPr>
          <w:rFonts w:hint="eastAsia" w:ascii="Times New Roman" w:hAnsi="Times New Roman" w:eastAsia="宋体"/>
          <w:kern w:val="2"/>
          <w:sz w:val="24"/>
          <w:szCs w:val="24"/>
          <w:lang w:val="en-US" w:eastAsia="zh-CN"/>
        </w:rPr>
        <w:t>1217</w:t>
      </w:r>
      <w:r>
        <w:rPr>
          <w:rFonts w:hint="default" w:ascii="Times New Roman" w:hAnsi="Times New Roman" w:eastAsia="宋体"/>
          <w:kern w:val="2"/>
          <w:sz w:val="24"/>
          <w:szCs w:val="24"/>
          <w:lang w:val="en-US" w:eastAsia="zh-CN"/>
        </w:rPr>
        <w:t>万元，环保投资</w:t>
      </w:r>
      <w:r>
        <w:rPr>
          <w:rFonts w:hint="eastAsia" w:ascii="Times New Roman" w:hAnsi="Times New Roman" w:eastAsia="宋体"/>
          <w:kern w:val="2"/>
          <w:sz w:val="24"/>
          <w:szCs w:val="24"/>
          <w:lang w:val="en-US" w:eastAsia="zh-CN"/>
        </w:rPr>
        <w:t>149</w:t>
      </w:r>
      <w:r>
        <w:rPr>
          <w:rFonts w:hint="default" w:ascii="Times New Roman" w:hAnsi="Times New Roman" w:eastAsia="宋体"/>
          <w:kern w:val="2"/>
          <w:sz w:val="24"/>
          <w:szCs w:val="24"/>
          <w:lang w:val="en-US" w:eastAsia="zh-CN"/>
        </w:rPr>
        <w:t>万元，占总投资的</w:t>
      </w:r>
      <w:r>
        <w:rPr>
          <w:rFonts w:hint="eastAsia" w:ascii="Times New Roman" w:hAnsi="Times New Roman" w:eastAsia="宋体"/>
          <w:kern w:val="2"/>
          <w:sz w:val="24"/>
          <w:szCs w:val="24"/>
          <w:lang w:val="en-US" w:eastAsia="zh-CN"/>
        </w:rPr>
        <w:t>12.24</w:t>
      </w:r>
      <w:r>
        <w:rPr>
          <w:rFonts w:hint="default" w:ascii="Times New Roman" w:hAnsi="Times New Roman" w:eastAsia="宋体"/>
          <w:kern w:val="2"/>
          <w:sz w:val="24"/>
          <w:szCs w:val="24"/>
          <w:lang w:val="en-US" w:eastAsia="zh-CN"/>
        </w:rPr>
        <w:t>%</w:t>
      </w:r>
      <w:r>
        <w:rPr>
          <w:rFonts w:hint="eastAsia" w:ascii="Times New Roman" w:hAnsi="Times New Roman" w:eastAsia="宋体"/>
          <w:kern w:val="2"/>
          <w:sz w:val="24"/>
          <w:szCs w:val="24"/>
          <w:lang w:val="en-US" w:eastAsia="zh-CN"/>
        </w:rPr>
        <w:t>。</w:t>
      </w:r>
    </w:p>
    <w:p>
      <w:pPr>
        <w:pStyle w:val="8"/>
        <w:spacing w:before="0" w:beforeAutospacing="0" w:after="0" w:afterAutospacing="0" w:line="360" w:lineRule="auto"/>
        <w:ind w:firstLine="480" w:firstLineChars="200"/>
        <w:jc w:val="both"/>
        <w:outlineLvl w:val="0"/>
      </w:pPr>
      <w:r>
        <w:rPr>
          <w:rFonts w:hint="eastAsia"/>
        </w:rPr>
        <w:t>（四）验收范围</w:t>
      </w:r>
    </w:p>
    <w:p>
      <w:pPr>
        <w:widowControl w:val="0"/>
        <w:adjustRightInd/>
        <w:snapToGrid/>
        <w:spacing w:after="0" w:line="360" w:lineRule="auto"/>
        <w:ind w:right="-11" w:firstLine="480" w:firstLineChars="200"/>
        <w:jc w:val="both"/>
        <w:rPr>
          <w:rFonts w:ascii="宋体" w:hAnsi="宋体" w:eastAsia="宋体"/>
          <w:kern w:val="2"/>
          <w:sz w:val="24"/>
          <w:szCs w:val="24"/>
        </w:rPr>
      </w:pPr>
      <w:r>
        <w:rPr>
          <w:rFonts w:ascii="宋体" w:hAnsi="宋体" w:eastAsia="宋体"/>
          <w:kern w:val="2"/>
          <w:sz w:val="24"/>
          <w:szCs w:val="24"/>
        </w:rPr>
        <w:t>本次验收范围为环评报告及批复文件要求</w:t>
      </w:r>
      <w:r>
        <w:rPr>
          <w:rFonts w:hint="eastAsia" w:ascii="宋体" w:hAnsi="宋体" w:eastAsia="宋体"/>
          <w:kern w:val="2"/>
          <w:sz w:val="24"/>
          <w:szCs w:val="24"/>
          <w:lang w:eastAsia="zh-CN"/>
        </w:rPr>
        <w:t>吴十一转</w:t>
      </w:r>
      <w:r>
        <w:rPr>
          <w:rFonts w:ascii="宋体" w:hAnsi="宋体" w:eastAsia="宋体"/>
          <w:kern w:val="2"/>
          <w:sz w:val="24"/>
          <w:szCs w:val="24"/>
        </w:rPr>
        <w:t>配套环境保护措施和运行效果。</w:t>
      </w:r>
    </w:p>
    <w:p>
      <w:pPr>
        <w:pStyle w:val="8"/>
        <w:spacing w:before="0" w:beforeAutospacing="0" w:after="0" w:afterAutospacing="0" w:line="360" w:lineRule="auto"/>
        <w:ind w:firstLine="480" w:firstLineChars="200"/>
        <w:jc w:val="both"/>
        <w:outlineLvl w:val="0"/>
        <w:rPr>
          <w:rFonts w:ascii="宋体" w:hAnsi="宋体" w:eastAsia="宋体"/>
          <w:kern w:val="2"/>
          <w:sz w:val="24"/>
          <w:szCs w:val="24"/>
        </w:rPr>
      </w:pPr>
    </w:p>
    <w:p>
      <w:pPr>
        <w:pStyle w:val="8"/>
        <w:spacing w:before="0" w:beforeAutospacing="0" w:after="0" w:afterAutospacing="0" w:line="360" w:lineRule="auto"/>
        <w:ind w:firstLine="480" w:firstLineChars="200"/>
        <w:jc w:val="both"/>
        <w:outlineLvl w:val="0"/>
        <w:rPr>
          <w:rFonts w:ascii="Times New Roman" w:hAnsi="Times New Roman" w:cs="Times New Roman"/>
        </w:rPr>
      </w:pPr>
      <w:r>
        <w:rPr>
          <w:rFonts w:ascii="Times New Roman" w:cs="Times New Roman"/>
        </w:rPr>
        <w:t>二、工程变动情况</w:t>
      </w:r>
    </w:p>
    <w:p>
      <w:pPr>
        <w:widowControl w:val="0"/>
        <w:numPr>
          <w:ilvl w:val="0"/>
          <w:numId w:val="0"/>
        </w:numPr>
        <w:adjustRightInd/>
        <w:snapToGrid/>
        <w:spacing w:after="0" w:line="360" w:lineRule="auto"/>
        <w:ind w:right="-11" w:rightChars="0" w:firstLine="480" w:firstLineChars="200"/>
        <w:jc w:val="both"/>
        <w:rPr>
          <w:rFonts w:hint="default" w:ascii="Times New Roman" w:hAnsi="Times New Roman" w:eastAsia="宋体"/>
          <w:kern w:val="2"/>
          <w:sz w:val="24"/>
          <w:szCs w:val="24"/>
          <w:lang w:val="en-US" w:eastAsia="zh-CN"/>
        </w:rPr>
      </w:pPr>
      <w:r>
        <w:rPr>
          <w:rFonts w:hint="eastAsia" w:ascii="Times New Roman" w:hAnsi="Times New Roman" w:eastAsia="宋体"/>
          <w:kern w:val="2"/>
          <w:sz w:val="24"/>
          <w:szCs w:val="24"/>
          <w:lang w:eastAsia="zh-CN"/>
        </w:rPr>
        <w:t>项目性质、建设地点、规模、工艺均未发生变动，环保措施中涉及一项变动：即：生活保障点加热炉实际未建。</w:t>
      </w:r>
      <w:r>
        <w:rPr>
          <w:rFonts w:hint="eastAsia" w:ascii="Times New Roman" w:hAnsi="Times New Roman" w:eastAsia="宋体"/>
          <w:kern w:val="2"/>
          <w:sz w:val="24"/>
          <w:szCs w:val="24"/>
          <w:highlight w:val="none"/>
          <w:lang w:val="en-US" w:eastAsia="zh-CN"/>
        </w:rPr>
        <w:t>保障点加热炉未建变动导致各类污染物排放量均减少，因此不属于重大变动。</w:t>
      </w:r>
    </w:p>
    <w:p>
      <w:pPr>
        <w:spacing w:line="360" w:lineRule="auto"/>
        <w:ind w:firstLine="480" w:firstLineChars="200"/>
        <w:outlineLvl w:val="0"/>
        <w:rPr>
          <w:sz w:val="24"/>
          <w:szCs w:val="24"/>
        </w:rPr>
      </w:pPr>
      <w:r>
        <w:rPr>
          <w:rFonts w:hAnsi="宋体"/>
          <w:sz w:val="24"/>
          <w:szCs w:val="24"/>
        </w:rPr>
        <w:t>三、环境保护设施建设情况</w:t>
      </w:r>
    </w:p>
    <w:p>
      <w:pPr>
        <w:spacing w:line="360" w:lineRule="auto"/>
        <w:ind w:firstLine="480" w:firstLineChars="200"/>
        <w:rPr>
          <w:sz w:val="24"/>
          <w:szCs w:val="24"/>
        </w:rPr>
      </w:pPr>
      <w:r>
        <w:rPr>
          <w:rFonts w:hAnsi="宋体"/>
          <w:sz w:val="24"/>
          <w:szCs w:val="24"/>
        </w:rPr>
        <w:t>（一）废水</w:t>
      </w:r>
    </w:p>
    <w:p>
      <w:pPr>
        <w:widowControl w:val="0"/>
        <w:adjustRightInd/>
        <w:snapToGrid/>
        <w:spacing w:after="0" w:line="360" w:lineRule="auto"/>
        <w:ind w:right="-11" w:firstLine="480" w:firstLineChars="200"/>
        <w:jc w:val="both"/>
        <w:rPr>
          <w:rFonts w:hint="eastAsia" w:ascii="Times New Roman" w:hAnsi="Times New Roman" w:eastAsia="宋体"/>
          <w:kern w:val="2"/>
          <w:sz w:val="24"/>
          <w:szCs w:val="24"/>
          <w:lang w:eastAsia="zh-CN"/>
        </w:rPr>
      </w:pPr>
      <w:r>
        <w:rPr>
          <w:rFonts w:hint="default" w:ascii="Times New Roman" w:hAnsi="Times New Roman" w:eastAsia="宋体"/>
          <w:kern w:val="2"/>
          <w:sz w:val="24"/>
          <w:szCs w:val="24"/>
        </w:rPr>
        <w:t>项目运营期废水主要为</w:t>
      </w:r>
      <w:r>
        <w:rPr>
          <w:rFonts w:hint="eastAsia" w:ascii="Times New Roman" w:hAnsi="Times New Roman" w:eastAsia="宋体"/>
          <w:kern w:val="2"/>
          <w:sz w:val="24"/>
          <w:szCs w:val="24"/>
          <w:lang w:eastAsia="zh-CN"/>
        </w:rPr>
        <w:t>生产保障点职工</w:t>
      </w:r>
      <w:r>
        <w:rPr>
          <w:rFonts w:hint="default" w:ascii="Times New Roman" w:hAnsi="Times New Roman" w:eastAsia="宋体"/>
          <w:kern w:val="2"/>
          <w:sz w:val="24"/>
          <w:szCs w:val="24"/>
        </w:rPr>
        <w:t>生活污水</w:t>
      </w:r>
      <w:r>
        <w:rPr>
          <w:rFonts w:hint="default" w:ascii="Times New Roman" w:hAnsi="Times New Roman" w:eastAsia="宋体"/>
          <w:kern w:val="2"/>
          <w:sz w:val="24"/>
          <w:szCs w:val="24"/>
          <w:lang w:eastAsia="zh-CN"/>
        </w:rPr>
        <w:t>和</w:t>
      </w:r>
      <w:r>
        <w:rPr>
          <w:rFonts w:hint="eastAsia" w:ascii="Times New Roman" w:hAnsi="Times New Roman" w:eastAsia="宋体"/>
          <w:kern w:val="2"/>
          <w:sz w:val="24"/>
          <w:szCs w:val="24"/>
          <w:lang w:eastAsia="zh-CN"/>
        </w:rPr>
        <w:t>三相分离器分离出</w:t>
      </w:r>
      <w:r>
        <w:rPr>
          <w:rFonts w:hint="default" w:ascii="Times New Roman" w:hAnsi="Times New Roman" w:eastAsia="宋体"/>
          <w:kern w:val="2"/>
          <w:sz w:val="24"/>
          <w:szCs w:val="24"/>
          <w:lang w:eastAsia="zh-CN"/>
        </w:rPr>
        <w:t>的</w:t>
      </w:r>
      <w:r>
        <w:rPr>
          <w:rFonts w:hint="eastAsia" w:ascii="Times New Roman" w:hAnsi="Times New Roman" w:eastAsia="宋体"/>
          <w:kern w:val="2"/>
          <w:sz w:val="24"/>
          <w:szCs w:val="24"/>
          <w:lang w:eastAsia="zh-CN"/>
        </w:rPr>
        <w:t>油田采出水</w:t>
      </w:r>
      <w:r>
        <w:rPr>
          <w:rFonts w:hint="default" w:ascii="Times New Roman" w:hAnsi="Times New Roman" w:eastAsia="宋体"/>
          <w:kern w:val="2"/>
          <w:sz w:val="24"/>
          <w:szCs w:val="24"/>
        </w:rPr>
        <w:t>。</w:t>
      </w:r>
      <w:r>
        <w:rPr>
          <w:rFonts w:hint="default" w:ascii="Times New Roman" w:hAnsi="Times New Roman" w:eastAsia="宋体"/>
          <w:kern w:val="2"/>
          <w:sz w:val="24"/>
          <w:szCs w:val="24"/>
          <w:lang w:eastAsia="zh-CN"/>
        </w:rPr>
        <w:t>生活污水</w:t>
      </w:r>
      <w:r>
        <w:rPr>
          <w:rFonts w:hint="default" w:ascii="Times New Roman" w:hAnsi="Times New Roman" w:eastAsia="宋体"/>
          <w:kern w:val="2"/>
          <w:sz w:val="24"/>
          <w:szCs w:val="24"/>
        </w:rPr>
        <w:t>经</w:t>
      </w:r>
      <w:r>
        <w:rPr>
          <w:rFonts w:hint="default" w:ascii="Times New Roman" w:hAnsi="Times New Roman" w:eastAsia="宋体"/>
          <w:kern w:val="2"/>
          <w:sz w:val="24"/>
          <w:szCs w:val="24"/>
          <w:lang w:eastAsia="zh-CN"/>
        </w:rPr>
        <w:t>化粪池处理后，排入</w:t>
      </w:r>
      <w:r>
        <w:rPr>
          <w:rFonts w:hint="default" w:ascii="Times New Roman" w:hAnsi="Times New Roman" w:eastAsia="宋体"/>
          <w:kern w:val="2"/>
          <w:sz w:val="24"/>
          <w:szCs w:val="24"/>
        </w:rPr>
        <w:t>一体化污水处理装置处理</w:t>
      </w:r>
      <w:r>
        <w:rPr>
          <w:rFonts w:hint="default" w:ascii="Times New Roman" w:hAnsi="Times New Roman" w:eastAsia="宋体"/>
          <w:kern w:val="2"/>
          <w:sz w:val="24"/>
          <w:szCs w:val="24"/>
          <w:lang w:eastAsia="zh-CN"/>
        </w:rPr>
        <w:t>达标</w:t>
      </w:r>
      <w:r>
        <w:rPr>
          <w:rFonts w:hint="default" w:ascii="Times New Roman" w:hAnsi="Times New Roman" w:eastAsia="宋体"/>
          <w:kern w:val="2"/>
          <w:sz w:val="24"/>
          <w:szCs w:val="24"/>
        </w:rPr>
        <w:t>后用于</w:t>
      </w:r>
      <w:r>
        <w:rPr>
          <w:rFonts w:hint="default" w:ascii="Times New Roman" w:hAnsi="Times New Roman" w:eastAsia="宋体"/>
          <w:kern w:val="2"/>
          <w:sz w:val="24"/>
          <w:szCs w:val="24"/>
          <w:lang w:eastAsia="zh-CN"/>
        </w:rPr>
        <w:t>站场</w:t>
      </w:r>
      <w:r>
        <w:rPr>
          <w:rFonts w:hint="default" w:ascii="Times New Roman" w:hAnsi="Times New Roman" w:eastAsia="宋体"/>
          <w:kern w:val="2"/>
          <w:sz w:val="24"/>
          <w:szCs w:val="24"/>
        </w:rPr>
        <w:t>洒水</w:t>
      </w:r>
      <w:r>
        <w:rPr>
          <w:rFonts w:hint="default" w:ascii="Times New Roman" w:hAnsi="Times New Roman" w:eastAsia="宋体"/>
          <w:kern w:val="2"/>
          <w:sz w:val="24"/>
          <w:szCs w:val="24"/>
          <w:lang w:eastAsia="zh-CN"/>
        </w:rPr>
        <w:t>降尘及</w:t>
      </w:r>
      <w:r>
        <w:rPr>
          <w:rFonts w:hint="default" w:ascii="Times New Roman" w:hAnsi="Times New Roman" w:eastAsia="宋体"/>
          <w:kern w:val="2"/>
          <w:sz w:val="24"/>
          <w:szCs w:val="24"/>
        </w:rPr>
        <w:t>绿化</w:t>
      </w:r>
      <w:r>
        <w:rPr>
          <w:rFonts w:hint="eastAsia" w:ascii="Times New Roman" w:hAnsi="Times New Roman" w:eastAsia="宋体"/>
          <w:kern w:val="2"/>
          <w:sz w:val="24"/>
          <w:szCs w:val="24"/>
          <w:lang w:eastAsia="zh-CN"/>
        </w:rPr>
        <w:t>，不外排。</w:t>
      </w:r>
      <w:r>
        <w:rPr>
          <w:rFonts w:hint="eastAsia" w:ascii="Times New Roman" w:hAnsi="Times New Roman" w:eastAsia="宋体"/>
          <w:kern w:val="2"/>
          <w:sz w:val="24"/>
          <w:szCs w:val="24"/>
        </w:rPr>
        <w:t>采出水经</w:t>
      </w:r>
      <w:r>
        <w:rPr>
          <w:rFonts w:hint="eastAsia" w:ascii="Times New Roman" w:hAnsi="Times New Roman" w:eastAsia="宋体"/>
          <w:kern w:val="2"/>
          <w:sz w:val="24"/>
          <w:szCs w:val="24"/>
          <w:lang w:eastAsia="zh-CN"/>
        </w:rPr>
        <w:t>采出水一体化级集成装置</w:t>
      </w:r>
      <w:r>
        <w:rPr>
          <w:rFonts w:hint="eastAsia" w:ascii="Times New Roman" w:hAnsi="Times New Roman" w:eastAsia="宋体"/>
          <w:kern w:val="2"/>
          <w:sz w:val="24"/>
          <w:szCs w:val="24"/>
        </w:rPr>
        <w:t>“一级除油”</w:t>
      </w:r>
      <w:r>
        <w:rPr>
          <w:rFonts w:hint="eastAsia" w:ascii="Times New Roman" w:hAnsi="Times New Roman" w:eastAsia="宋体"/>
          <w:kern w:val="2"/>
          <w:sz w:val="24"/>
          <w:szCs w:val="24"/>
          <w:lang w:val="en-US" w:eastAsia="zh-CN"/>
        </w:rPr>
        <w:t>+</w:t>
      </w:r>
      <w:r>
        <w:rPr>
          <w:rFonts w:hint="eastAsia" w:ascii="Times New Roman" w:hAnsi="Times New Roman" w:eastAsia="宋体"/>
          <w:kern w:val="2"/>
          <w:sz w:val="24"/>
          <w:szCs w:val="24"/>
          <w:lang w:eastAsia="zh-CN"/>
        </w:rPr>
        <w:t>一体化集成装置（气浮</w:t>
      </w:r>
      <w:r>
        <w:rPr>
          <w:rFonts w:hint="eastAsia" w:ascii="Times New Roman" w:hAnsi="Times New Roman" w:eastAsia="宋体"/>
          <w:kern w:val="2"/>
          <w:sz w:val="24"/>
          <w:szCs w:val="24"/>
          <w:lang w:val="en-US" w:eastAsia="zh-CN"/>
        </w:rPr>
        <w:t>+过滤）</w:t>
      </w:r>
      <w:r>
        <w:rPr>
          <w:rFonts w:hint="eastAsia" w:ascii="Times New Roman" w:hAnsi="Times New Roman" w:eastAsia="宋体"/>
          <w:kern w:val="2"/>
          <w:sz w:val="24"/>
          <w:szCs w:val="24"/>
        </w:rPr>
        <w:t>处理后</w:t>
      </w:r>
      <w:r>
        <w:rPr>
          <w:rFonts w:hint="eastAsia" w:ascii="Times New Roman" w:hAnsi="Times New Roman" w:eastAsia="宋体"/>
          <w:kern w:val="2"/>
          <w:sz w:val="24"/>
          <w:szCs w:val="24"/>
          <w:lang w:eastAsia="zh-CN"/>
        </w:rPr>
        <w:t>同层回注地层，不外排。</w:t>
      </w:r>
    </w:p>
    <w:p>
      <w:pPr>
        <w:widowControl w:val="0"/>
        <w:adjustRightInd/>
        <w:snapToGrid/>
        <w:spacing w:after="0" w:line="360" w:lineRule="auto"/>
        <w:ind w:right="-11" w:firstLine="480" w:firstLineChars="200"/>
        <w:jc w:val="both"/>
        <w:rPr>
          <w:rFonts w:hint="eastAsia"/>
          <w:lang w:eastAsia="zh-CN"/>
        </w:rPr>
      </w:pPr>
      <w:r>
        <w:rPr>
          <w:rFonts w:hint="eastAsia" w:ascii="Times New Roman" w:hAnsi="Times New Roman" w:eastAsia="宋体"/>
          <w:kern w:val="2"/>
          <w:sz w:val="24"/>
          <w:szCs w:val="24"/>
        </w:rPr>
        <w:t>根据调查，项目站点根据环评要求进行了分区防渗，其中装置区均采用一般防渗，其他区域采用简单防渗。</w:t>
      </w:r>
    </w:p>
    <w:p>
      <w:pPr>
        <w:spacing w:line="360" w:lineRule="auto"/>
        <w:ind w:firstLine="480" w:firstLineChars="200"/>
        <w:rPr>
          <w:sz w:val="24"/>
          <w:szCs w:val="24"/>
        </w:rPr>
      </w:pPr>
      <w:r>
        <w:rPr>
          <w:rFonts w:hAnsi="宋体"/>
          <w:sz w:val="24"/>
          <w:szCs w:val="24"/>
        </w:rPr>
        <w:t>（二）废气</w:t>
      </w:r>
    </w:p>
    <w:p>
      <w:pPr>
        <w:widowControl w:val="0"/>
        <w:adjustRightInd/>
        <w:snapToGrid/>
        <w:spacing w:after="0" w:line="360" w:lineRule="auto"/>
        <w:ind w:right="-11" w:firstLine="480" w:firstLineChars="200"/>
        <w:jc w:val="both"/>
        <w:rPr>
          <w:rFonts w:ascii="Times New Roman" w:hAnsi="Times New Roman" w:eastAsia="宋体"/>
          <w:kern w:val="2"/>
          <w:sz w:val="24"/>
          <w:szCs w:val="24"/>
        </w:rPr>
      </w:pPr>
      <w:r>
        <w:rPr>
          <w:rFonts w:hint="eastAsia" w:ascii="Times New Roman" w:hAnsi="Times New Roman" w:eastAsia="宋体"/>
          <w:kern w:val="2"/>
          <w:sz w:val="24"/>
          <w:szCs w:val="24"/>
        </w:rPr>
        <w:t>（1）加热炉废气</w:t>
      </w:r>
    </w:p>
    <w:p>
      <w:pPr>
        <w:widowControl w:val="0"/>
        <w:adjustRightInd/>
        <w:snapToGrid/>
        <w:spacing w:after="0" w:line="360" w:lineRule="auto"/>
        <w:ind w:right="-11" w:firstLine="480" w:firstLineChars="200"/>
        <w:jc w:val="both"/>
        <w:rPr>
          <w:rFonts w:ascii="Times New Roman" w:hAnsi="Times New Roman" w:eastAsia="宋体"/>
          <w:kern w:val="2"/>
          <w:sz w:val="24"/>
          <w:szCs w:val="24"/>
          <w:highlight w:val="yellow"/>
        </w:rPr>
      </w:pPr>
      <w:r>
        <w:rPr>
          <w:rFonts w:hint="eastAsia" w:ascii="Times New Roman" w:hAnsi="Times New Roman" w:eastAsia="宋体"/>
          <w:kern w:val="2"/>
          <w:sz w:val="24"/>
          <w:szCs w:val="24"/>
          <w:lang w:eastAsia="zh-CN"/>
        </w:rPr>
        <w:t>吴十一转站点内</w:t>
      </w:r>
      <w:r>
        <w:rPr>
          <w:rFonts w:hint="eastAsia" w:ascii="宋体" w:hAnsi="宋体" w:eastAsia="宋体"/>
          <w:kern w:val="2"/>
          <w:sz w:val="24"/>
          <w:szCs w:val="24"/>
        </w:rPr>
        <w:t>设</w:t>
      </w:r>
      <w:r>
        <w:rPr>
          <w:rFonts w:hint="eastAsia" w:ascii="Times New Roman" w:hAnsi="Times New Roman" w:eastAsia="宋体"/>
          <w:kern w:val="2"/>
          <w:sz w:val="24"/>
          <w:szCs w:val="24"/>
        </w:rPr>
        <w:t>置</w:t>
      </w:r>
      <w:r>
        <w:rPr>
          <w:rFonts w:hint="eastAsia" w:ascii="Times New Roman" w:hAnsi="Times New Roman" w:eastAsia="宋体"/>
          <w:kern w:val="2"/>
          <w:sz w:val="24"/>
          <w:szCs w:val="24"/>
          <w:lang w:val="en-US" w:eastAsia="zh-CN"/>
        </w:rPr>
        <w:t>2</w:t>
      </w:r>
      <w:r>
        <w:rPr>
          <w:rFonts w:hint="default" w:ascii="Times New Roman" w:hAnsi="Times New Roman" w:eastAsia="宋体"/>
          <w:kern w:val="2"/>
          <w:sz w:val="24"/>
          <w:szCs w:val="24"/>
        </w:rPr>
        <w:t>台</w:t>
      </w:r>
      <w:r>
        <w:rPr>
          <w:rFonts w:hint="eastAsia" w:ascii="Times New Roman" w:hAnsi="Times New Roman" w:eastAsia="宋体"/>
          <w:kern w:val="2"/>
          <w:sz w:val="24"/>
          <w:szCs w:val="24"/>
          <w:lang w:val="en-US" w:eastAsia="zh-CN"/>
        </w:rPr>
        <w:t>6</w:t>
      </w:r>
      <w:r>
        <w:rPr>
          <w:rFonts w:hint="default" w:ascii="Times New Roman" w:hAnsi="Times New Roman" w:eastAsia="宋体"/>
          <w:kern w:val="2"/>
          <w:sz w:val="24"/>
          <w:szCs w:val="24"/>
          <w:lang w:val="en-US" w:eastAsia="zh-CN"/>
        </w:rPr>
        <w:t>00</w:t>
      </w:r>
      <w:r>
        <w:rPr>
          <w:rFonts w:hint="eastAsia" w:ascii="Times New Roman" w:hAnsi="Times New Roman" w:eastAsia="宋体"/>
          <w:kern w:val="2"/>
          <w:sz w:val="24"/>
          <w:szCs w:val="24"/>
        </w:rPr>
        <w:t>kW加热炉</w:t>
      </w:r>
      <w:r>
        <w:rPr>
          <w:rFonts w:hint="eastAsia" w:ascii="Times New Roman" w:hAnsi="Times New Roman" w:eastAsia="宋体"/>
          <w:kern w:val="2"/>
          <w:sz w:val="24"/>
          <w:szCs w:val="24"/>
          <w:lang w:eastAsia="zh-CN"/>
        </w:rPr>
        <w:t>用于生产及生活，</w:t>
      </w:r>
      <w:r>
        <w:rPr>
          <w:rFonts w:hint="eastAsia" w:ascii="Times New Roman" w:hAnsi="Times New Roman" w:eastAsia="宋体"/>
          <w:kern w:val="2"/>
          <w:sz w:val="24"/>
          <w:szCs w:val="24"/>
        </w:rPr>
        <w:t>加热</w:t>
      </w:r>
      <w:r>
        <w:rPr>
          <w:rFonts w:hint="eastAsia" w:ascii="Times New Roman" w:hAnsi="Times New Roman" w:eastAsia="宋体"/>
          <w:kern w:val="2"/>
          <w:sz w:val="24"/>
          <w:szCs w:val="24"/>
          <w:highlight w:val="none"/>
        </w:rPr>
        <w:t>炉废气通过</w:t>
      </w:r>
      <w:r>
        <w:rPr>
          <w:rFonts w:hint="eastAsia" w:ascii="Times New Roman" w:hAnsi="Times New Roman" w:eastAsia="宋体"/>
          <w:kern w:val="2"/>
          <w:sz w:val="24"/>
          <w:szCs w:val="24"/>
          <w:highlight w:val="none"/>
          <w:lang w:val="en-US" w:eastAsia="zh-CN"/>
        </w:rPr>
        <w:t>2</w:t>
      </w:r>
      <w:r>
        <w:rPr>
          <w:rFonts w:hint="eastAsia" w:ascii="Times New Roman" w:hAnsi="Times New Roman" w:eastAsia="宋体"/>
          <w:kern w:val="2"/>
          <w:sz w:val="24"/>
          <w:szCs w:val="24"/>
          <w:highlight w:val="none"/>
        </w:rPr>
        <w:t>根</w:t>
      </w:r>
      <w:r>
        <w:rPr>
          <w:rFonts w:hint="eastAsia" w:ascii="Times New Roman" w:hAnsi="Times New Roman" w:eastAsia="宋体"/>
          <w:kern w:val="2"/>
          <w:sz w:val="24"/>
          <w:szCs w:val="24"/>
          <w:highlight w:val="none"/>
          <w:lang w:val="en-US" w:eastAsia="zh-CN"/>
        </w:rPr>
        <w:t>15</w:t>
      </w:r>
      <w:r>
        <w:rPr>
          <w:rFonts w:hint="eastAsia" w:ascii="Times New Roman" w:hAnsi="Times New Roman" w:eastAsia="宋体"/>
          <w:kern w:val="2"/>
          <w:sz w:val="24"/>
          <w:szCs w:val="24"/>
          <w:highlight w:val="none"/>
        </w:rPr>
        <w:t>m高排气筒</w:t>
      </w:r>
      <w:r>
        <w:rPr>
          <w:rFonts w:hint="eastAsia" w:ascii="Times New Roman" w:hAnsi="Times New Roman" w:eastAsia="宋体"/>
          <w:kern w:val="2"/>
          <w:sz w:val="24"/>
          <w:szCs w:val="24"/>
        </w:rPr>
        <w:t>排放，</w:t>
      </w:r>
      <w:r>
        <w:rPr>
          <w:rFonts w:hint="eastAsia" w:ascii="Times New Roman" w:hAnsi="Times New Roman" w:eastAsia="宋体"/>
          <w:kern w:val="2"/>
          <w:sz w:val="24"/>
          <w:szCs w:val="24"/>
          <w:highlight w:val="none"/>
        </w:rPr>
        <w:t>排气筒高度满足环评不低于8m的要求。</w:t>
      </w:r>
    </w:p>
    <w:p>
      <w:pPr>
        <w:widowControl w:val="0"/>
        <w:adjustRightInd/>
        <w:snapToGrid/>
        <w:spacing w:after="0" w:line="360" w:lineRule="auto"/>
        <w:ind w:right="-11" w:firstLine="480" w:firstLineChars="200"/>
        <w:jc w:val="both"/>
        <w:rPr>
          <w:rFonts w:ascii="Times New Roman" w:hAnsi="Times New Roman" w:eastAsia="宋体"/>
          <w:kern w:val="2"/>
          <w:sz w:val="24"/>
          <w:szCs w:val="24"/>
        </w:rPr>
      </w:pPr>
      <w:r>
        <w:rPr>
          <w:rFonts w:hint="eastAsia" w:ascii="Times New Roman" w:hAnsi="Times New Roman" w:eastAsia="宋体"/>
          <w:kern w:val="2"/>
          <w:sz w:val="24"/>
          <w:szCs w:val="24"/>
        </w:rPr>
        <w:t>（2）无组织排放的烃类气体</w:t>
      </w:r>
    </w:p>
    <w:p>
      <w:pPr>
        <w:widowControl w:val="0"/>
        <w:adjustRightInd/>
        <w:snapToGrid/>
        <w:spacing w:after="0" w:line="360" w:lineRule="auto"/>
        <w:ind w:right="-11" w:firstLine="480" w:firstLineChars="200"/>
        <w:jc w:val="both"/>
        <w:rPr>
          <w:rFonts w:hint="eastAsia" w:ascii="Times New Roman" w:hAnsi="Times New Roman" w:eastAsia="宋体"/>
          <w:kern w:val="2"/>
          <w:sz w:val="24"/>
          <w:szCs w:val="24"/>
        </w:rPr>
      </w:pPr>
      <w:r>
        <w:rPr>
          <w:rFonts w:hint="eastAsia" w:ascii="Times New Roman" w:hAnsi="Times New Roman" w:eastAsia="宋体"/>
          <w:kern w:val="2"/>
          <w:sz w:val="24"/>
          <w:szCs w:val="24"/>
        </w:rPr>
        <w:t>项目采用原油封闭技术，站内输油管线均埋于地下，同时</w:t>
      </w:r>
      <w:r>
        <w:rPr>
          <w:rFonts w:hint="eastAsia" w:ascii="Times New Roman" w:hAnsi="Times New Roman" w:eastAsia="宋体"/>
          <w:kern w:val="2"/>
          <w:sz w:val="24"/>
          <w:szCs w:val="24"/>
          <w:lang w:eastAsia="zh-CN"/>
        </w:rPr>
        <w:t>配备有</w:t>
      </w:r>
      <w:r>
        <w:rPr>
          <w:rFonts w:hint="eastAsia" w:ascii="Times New Roman" w:hAnsi="Times New Roman" w:eastAsia="宋体"/>
          <w:kern w:val="2"/>
          <w:sz w:val="24"/>
          <w:szCs w:val="24"/>
        </w:rPr>
        <w:t>值班人员进行管理，管理制度完善，可见无组织排放的烃类气体影响较小。</w:t>
      </w:r>
    </w:p>
    <w:p>
      <w:pPr>
        <w:widowControl w:val="0"/>
        <w:adjustRightInd/>
        <w:snapToGrid/>
        <w:spacing w:after="0" w:line="360" w:lineRule="auto"/>
        <w:ind w:right="-11" w:firstLine="480" w:firstLineChars="200"/>
        <w:jc w:val="both"/>
        <w:rPr>
          <w:rFonts w:hint="eastAsia" w:ascii="Times New Roman" w:hAnsi="Times New Roman" w:eastAsia="宋体"/>
          <w:kern w:val="2"/>
          <w:sz w:val="24"/>
          <w:szCs w:val="24"/>
          <w:lang w:val="en-US" w:eastAsia="zh-CN"/>
        </w:rPr>
      </w:pPr>
      <w:r>
        <w:rPr>
          <w:rFonts w:hint="eastAsia" w:ascii="Times New Roman" w:hAnsi="Times New Roman" w:eastAsia="宋体"/>
          <w:kern w:val="2"/>
          <w:sz w:val="24"/>
          <w:szCs w:val="24"/>
          <w:lang w:val="en-US" w:eastAsia="zh-CN"/>
        </w:rPr>
        <w:t>（3）餐饮油烟</w:t>
      </w:r>
    </w:p>
    <w:p>
      <w:pPr>
        <w:widowControl w:val="0"/>
        <w:adjustRightInd/>
        <w:snapToGrid/>
        <w:spacing w:after="0" w:line="360" w:lineRule="auto"/>
        <w:ind w:right="-11" w:firstLine="480" w:firstLineChars="200"/>
        <w:jc w:val="both"/>
        <w:rPr>
          <w:rFonts w:hint="eastAsia"/>
          <w:highlight w:val="none"/>
          <w:lang w:val="en-US" w:eastAsia="zh-CN"/>
        </w:rPr>
      </w:pPr>
      <w:r>
        <w:rPr>
          <w:rFonts w:hint="eastAsia" w:ascii="Times New Roman" w:hAnsi="Times New Roman" w:eastAsia="宋体"/>
          <w:kern w:val="2"/>
          <w:sz w:val="24"/>
          <w:szCs w:val="24"/>
          <w:highlight w:val="none"/>
          <w:lang w:eastAsia="zh-CN"/>
        </w:rPr>
        <w:t>验收调查期间，保障点有</w:t>
      </w:r>
      <w:r>
        <w:rPr>
          <w:rFonts w:hint="eastAsia" w:ascii="Times New Roman" w:hAnsi="Times New Roman" w:eastAsia="宋体"/>
          <w:kern w:val="2"/>
          <w:sz w:val="24"/>
          <w:szCs w:val="24"/>
          <w:highlight w:val="none"/>
          <w:lang w:val="en-US" w:eastAsia="zh-CN"/>
        </w:rPr>
        <w:t>19人食宿，厨房设置2台电炉子，产生餐饮油烟经带油烟净化功能的抽油烟机引至室外排放。</w:t>
      </w:r>
    </w:p>
    <w:p>
      <w:pPr>
        <w:pStyle w:val="8"/>
        <w:spacing w:before="0" w:beforeAutospacing="0" w:after="0" w:afterAutospacing="0" w:line="360" w:lineRule="auto"/>
        <w:ind w:firstLine="480" w:firstLineChars="200"/>
        <w:jc w:val="both"/>
      </w:pPr>
      <w:r>
        <w:rPr>
          <w:rFonts w:hint="eastAsia"/>
        </w:rPr>
        <w:t>（三）噪声</w:t>
      </w:r>
    </w:p>
    <w:p>
      <w:pPr>
        <w:pStyle w:val="8"/>
        <w:spacing w:before="0" w:beforeAutospacing="0" w:after="0" w:afterAutospacing="0" w:line="360" w:lineRule="auto"/>
        <w:ind w:firstLine="480" w:firstLineChars="200"/>
        <w:jc w:val="both"/>
        <w:rPr>
          <w:rFonts w:ascii="Times New Roman" w:hAnsi="Times New Roman"/>
        </w:rPr>
      </w:pPr>
      <w:r>
        <w:rPr>
          <w:rFonts w:hint="eastAsia" w:ascii="Times New Roman" w:hAnsi="Times New Roman"/>
        </w:rPr>
        <w:t>各噪声设备均选用低噪声设备，并采取基础减振措施。</w:t>
      </w:r>
    </w:p>
    <w:p>
      <w:pPr>
        <w:spacing w:line="360" w:lineRule="auto"/>
        <w:ind w:right="-11" w:firstLine="480" w:firstLineChars="200"/>
        <w:rPr>
          <w:bCs/>
          <w:sz w:val="24"/>
          <w:szCs w:val="24"/>
        </w:rPr>
      </w:pPr>
      <w:r>
        <w:rPr>
          <w:rFonts w:hint="eastAsia"/>
          <w:bCs/>
          <w:sz w:val="24"/>
          <w:szCs w:val="24"/>
        </w:rPr>
        <w:t>（四）固体废物</w:t>
      </w:r>
    </w:p>
    <w:p>
      <w:pPr>
        <w:widowControl w:val="0"/>
        <w:adjustRightInd/>
        <w:snapToGrid/>
        <w:spacing w:after="0" w:line="360" w:lineRule="auto"/>
        <w:ind w:right="-11" w:firstLine="480" w:firstLineChars="200"/>
        <w:jc w:val="both"/>
        <w:rPr>
          <w:rFonts w:hint="eastAsia" w:ascii="Times New Roman" w:hAnsi="Times New Roman" w:eastAsia="宋体"/>
          <w:kern w:val="2"/>
          <w:sz w:val="24"/>
          <w:szCs w:val="24"/>
          <w:highlight w:val="none"/>
        </w:rPr>
      </w:pPr>
      <w:r>
        <w:rPr>
          <w:rFonts w:hint="eastAsia" w:ascii="Times New Roman" w:hAnsi="Times New Roman" w:eastAsia="宋体"/>
          <w:kern w:val="2"/>
          <w:sz w:val="24"/>
          <w:szCs w:val="24"/>
          <w:lang w:val="zh-CN"/>
        </w:rPr>
        <w:t>本项目固体废物主要包括各类罐体产生的含油污泥、收球装置接收的清管废渣和员工生活垃圾等。</w:t>
      </w:r>
      <w:r>
        <w:rPr>
          <w:rFonts w:hint="eastAsia" w:ascii="Times New Roman" w:hAnsi="Times New Roman" w:eastAsia="宋体"/>
          <w:kern w:val="2"/>
          <w:sz w:val="24"/>
          <w:szCs w:val="24"/>
          <w:highlight w:val="none"/>
        </w:rPr>
        <w:t>含油污泥袋装后运往污油泥暂存点，最终委托有资质单位处置。项目站内已建立了含油污泥记录台账。</w:t>
      </w:r>
    </w:p>
    <w:p>
      <w:pPr>
        <w:widowControl w:val="0"/>
        <w:adjustRightInd/>
        <w:snapToGrid/>
        <w:spacing w:after="0" w:line="360" w:lineRule="auto"/>
        <w:ind w:right="-11" w:firstLine="480" w:firstLineChars="200"/>
        <w:jc w:val="both"/>
        <w:rPr>
          <w:rFonts w:hint="default" w:ascii="Times New Roman" w:hAnsi="Times New Roman" w:eastAsia="宋体"/>
          <w:kern w:val="2"/>
          <w:sz w:val="24"/>
          <w:szCs w:val="24"/>
          <w:lang w:val="en-US" w:eastAsia="zh-CN"/>
        </w:rPr>
      </w:pPr>
      <w:r>
        <w:rPr>
          <w:rFonts w:hint="default" w:ascii="Times New Roman" w:hAnsi="Times New Roman" w:eastAsia="宋体"/>
          <w:kern w:val="2"/>
          <w:sz w:val="24"/>
          <w:szCs w:val="24"/>
          <w:lang w:val="en-US" w:eastAsia="zh-CN"/>
        </w:rPr>
        <w:t>清管废渣收集于污</w:t>
      </w:r>
      <w:r>
        <w:rPr>
          <w:rFonts w:hint="eastAsia" w:ascii="Times New Roman" w:hAnsi="Times New Roman" w:eastAsia="宋体"/>
          <w:kern w:val="2"/>
          <w:sz w:val="24"/>
          <w:szCs w:val="24"/>
          <w:lang w:val="en-US" w:eastAsia="zh-CN"/>
        </w:rPr>
        <w:t>泥</w:t>
      </w:r>
      <w:r>
        <w:rPr>
          <w:rFonts w:hint="default" w:ascii="Times New Roman" w:hAnsi="Times New Roman" w:eastAsia="宋体"/>
          <w:kern w:val="2"/>
          <w:sz w:val="24"/>
          <w:szCs w:val="24"/>
          <w:lang w:val="en-US" w:eastAsia="zh-CN"/>
        </w:rPr>
        <w:t>池内，最终委托有处理危险废物资质单位安全处置。</w:t>
      </w:r>
    </w:p>
    <w:p>
      <w:pPr>
        <w:widowControl w:val="0"/>
        <w:adjustRightInd/>
        <w:snapToGrid/>
        <w:spacing w:after="0" w:line="360" w:lineRule="auto"/>
        <w:ind w:right="-11" w:firstLine="480" w:firstLineChars="200"/>
        <w:jc w:val="both"/>
        <w:rPr>
          <w:rFonts w:hint="eastAsia" w:ascii="Times New Roman" w:hAnsi="Times New Roman" w:eastAsia="宋体"/>
          <w:kern w:val="2"/>
          <w:sz w:val="24"/>
          <w:szCs w:val="24"/>
          <w:lang w:eastAsia="zh-CN"/>
        </w:rPr>
      </w:pPr>
      <w:r>
        <w:rPr>
          <w:rFonts w:hint="default" w:ascii="Times New Roman" w:hAnsi="Times New Roman" w:eastAsia="宋体"/>
          <w:kern w:val="2"/>
          <w:sz w:val="24"/>
          <w:szCs w:val="24"/>
          <w:lang w:eastAsia="zh-CN"/>
        </w:rPr>
        <w:t>职工生活垃圾</w:t>
      </w:r>
      <w:r>
        <w:rPr>
          <w:rFonts w:hint="default" w:ascii="Times New Roman" w:hAnsi="Times New Roman" w:eastAsia="宋体"/>
          <w:kern w:val="2"/>
          <w:sz w:val="24"/>
          <w:szCs w:val="24"/>
          <w:lang w:val="en-US" w:eastAsia="zh-CN"/>
        </w:rPr>
        <w:t>统一收集后送当地环卫部门指定垃圾填埋场处理。</w:t>
      </w:r>
    </w:p>
    <w:p>
      <w:pPr>
        <w:spacing w:line="360" w:lineRule="auto"/>
        <w:ind w:right="-11" w:firstLine="480" w:firstLineChars="200"/>
        <w:rPr>
          <w:rFonts w:hAnsi="宋体"/>
          <w:sz w:val="24"/>
          <w:szCs w:val="24"/>
        </w:rPr>
      </w:pPr>
      <w:r>
        <w:rPr>
          <w:rFonts w:hint="eastAsia" w:hAnsi="宋体"/>
          <w:sz w:val="24"/>
          <w:szCs w:val="24"/>
        </w:rPr>
        <w:t>（五）风险</w:t>
      </w:r>
    </w:p>
    <w:p>
      <w:pPr>
        <w:pStyle w:val="9"/>
        <w:spacing w:line="360" w:lineRule="auto"/>
        <w:ind w:firstLine="480" w:firstLineChars="200"/>
        <w:rPr>
          <w:rFonts w:ascii="Times New Roman" w:hAnsi="Times New Roman" w:cs="Times New Roman"/>
          <w:color w:val="auto"/>
          <w:highlight w:val="yellow"/>
        </w:rPr>
      </w:pPr>
      <w:r>
        <w:rPr>
          <w:rFonts w:hint="eastAsia" w:ascii="Times New Roman" w:hAnsi="Times New Roman"/>
          <w:kern w:val="2"/>
        </w:rPr>
        <w:t>项目设置了电控一体化集成装置，对站内工艺设施的主要生产过程数据进行集中采集和监控，站内配备了可燃气体检测器、事故油箱</w:t>
      </w:r>
      <w:r>
        <w:rPr>
          <w:rFonts w:hint="eastAsia"/>
        </w:rPr>
        <w:t>。</w:t>
      </w:r>
      <w:r>
        <w:rPr>
          <w:rFonts w:hint="eastAsia" w:ascii="Times New Roman" w:hAnsi="Times New Roman" w:cs="Times New Roman"/>
          <w:color w:val="auto"/>
        </w:rPr>
        <w:t>项目环境风险应急预案纳入长庆油田分公司第</w:t>
      </w:r>
      <w:r>
        <w:rPr>
          <w:rFonts w:hint="eastAsia" w:ascii="Times New Roman" w:hAnsi="Times New Roman" w:cs="Times New Roman"/>
          <w:color w:val="auto"/>
          <w:lang w:eastAsia="zh-CN"/>
        </w:rPr>
        <w:t>八</w:t>
      </w:r>
      <w:r>
        <w:rPr>
          <w:rFonts w:hint="eastAsia" w:ascii="Times New Roman" w:hAnsi="Times New Roman" w:cs="Times New Roman"/>
          <w:color w:val="auto"/>
        </w:rPr>
        <w:t>采油厂应急预案体系中，</w:t>
      </w:r>
      <w:r>
        <w:rPr>
          <w:rFonts w:hint="eastAsia" w:ascii="Times New Roman" w:hAnsi="Times New Roman" w:eastAsia="宋体" w:cs="Times New Roman"/>
          <w:kern w:val="2"/>
          <w:sz w:val="24"/>
          <w:szCs w:val="24"/>
          <w:lang w:val="en-US" w:eastAsia="zh-CN"/>
        </w:rPr>
        <w:t>长庆油田分公司第八采油厂于2019年6月编制了《中国石油天然气股份有限公司长庆油田分公司第八采油厂（吴起区域）环境风险评估报告》，同时在延安市突发环境事件应急处进行了备案，备案编号为ya610626-2019-083-L。</w:t>
      </w:r>
    </w:p>
    <w:p>
      <w:pPr>
        <w:pStyle w:val="8"/>
        <w:spacing w:before="0" w:beforeAutospacing="0" w:after="0" w:afterAutospacing="0" w:line="360" w:lineRule="auto"/>
        <w:ind w:firstLine="480" w:firstLineChars="200"/>
        <w:jc w:val="both"/>
        <w:rPr>
          <w:rFonts w:ascii="Times New Roman" w:hAnsi="Times New Roman" w:cs="Times New Roman"/>
        </w:rPr>
      </w:pPr>
      <w:r>
        <w:rPr>
          <w:rFonts w:ascii="Times New Roman" w:cs="Times New Roman"/>
        </w:rPr>
        <w:t>四、</w:t>
      </w:r>
      <w:r>
        <w:rPr>
          <w:rFonts w:hint="eastAsia" w:ascii="Times New Roman" w:cs="Times New Roman"/>
        </w:rPr>
        <w:t>污染物</w:t>
      </w:r>
      <w:r>
        <w:rPr>
          <w:rFonts w:ascii="Times New Roman" w:cs="Times New Roman"/>
        </w:rPr>
        <w:t>达标排放情况</w:t>
      </w:r>
    </w:p>
    <w:p>
      <w:pPr>
        <w:pStyle w:val="8"/>
        <w:spacing w:before="0" w:beforeAutospacing="0" w:after="0" w:afterAutospacing="0" w:line="360" w:lineRule="auto"/>
        <w:ind w:firstLine="480" w:firstLineChars="200"/>
        <w:jc w:val="both"/>
        <w:rPr>
          <w:rFonts w:ascii="Times New Roman" w:hAnsi="Times New Roman" w:cs="Times New Roman"/>
        </w:rPr>
      </w:pPr>
      <w:r>
        <w:t>（一）</w:t>
      </w:r>
      <w:r>
        <w:rPr>
          <w:rFonts w:ascii="Times New Roman" w:cs="Times New Roman"/>
        </w:rPr>
        <w:t>废水</w:t>
      </w:r>
    </w:p>
    <w:p>
      <w:pPr>
        <w:widowControl w:val="0"/>
        <w:adjustRightInd/>
        <w:snapToGrid/>
        <w:spacing w:after="0" w:line="360" w:lineRule="auto"/>
        <w:ind w:right="-11" w:firstLine="480" w:firstLineChars="200"/>
        <w:jc w:val="both"/>
        <w:rPr>
          <w:rFonts w:hint="eastAsia" w:ascii="Times New Roman" w:hAnsi="Times New Roman" w:eastAsia="宋体"/>
          <w:kern w:val="2"/>
          <w:sz w:val="24"/>
          <w:szCs w:val="24"/>
          <w:lang w:eastAsia="zh-CN"/>
        </w:rPr>
      </w:pPr>
      <w:r>
        <w:rPr>
          <w:rFonts w:hint="eastAsia" w:ascii="Times New Roman" w:hAnsi="Times New Roman" w:eastAsia="宋体"/>
          <w:kern w:val="2"/>
          <w:sz w:val="24"/>
          <w:szCs w:val="24"/>
          <w:lang w:eastAsia="zh-CN"/>
        </w:rPr>
        <w:t>生活污水经</w:t>
      </w:r>
      <w:r>
        <w:rPr>
          <w:rFonts w:hint="eastAsia" w:ascii="Times New Roman" w:hAnsi="Times New Roman" w:eastAsia="宋体"/>
          <w:kern w:val="2"/>
          <w:sz w:val="24"/>
          <w:szCs w:val="24"/>
          <w:lang w:val="en-US" w:eastAsia="zh-CN"/>
        </w:rPr>
        <w:t>一体化生活污水处理装置处理后回用于保障点绿化浇洒；采出水经采出水处理装置处理后回注油层，不外排</w:t>
      </w:r>
      <w:r>
        <w:rPr>
          <w:rFonts w:hint="eastAsia" w:ascii="Times New Roman" w:hAnsi="Times New Roman" w:eastAsia="宋体"/>
          <w:kern w:val="2"/>
          <w:sz w:val="24"/>
          <w:szCs w:val="24"/>
        </w:rPr>
        <w:t>。</w:t>
      </w:r>
      <w:r>
        <w:rPr>
          <w:rFonts w:hint="eastAsia" w:ascii="Times New Roman" w:hAnsi="Times New Roman" w:eastAsia="宋体"/>
          <w:kern w:val="2"/>
          <w:sz w:val="24"/>
          <w:szCs w:val="24"/>
          <w:lang w:eastAsia="zh-CN"/>
        </w:rPr>
        <w:t>根据监测，</w:t>
      </w:r>
      <w:r>
        <w:rPr>
          <w:rFonts w:ascii="Times New Roman" w:hAnsi="Times New Roman" w:eastAsia="宋体"/>
          <w:kern w:val="2"/>
          <w:sz w:val="24"/>
          <w:szCs w:val="24"/>
        </w:rPr>
        <w:t>本项目</w:t>
      </w:r>
      <w:r>
        <w:rPr>
          <w:rFonts w:hint="eastAsia" w:ascii="Times New Roman" w:hAnsi="Times New Roman" w:eastAsia="宋体"/>
          <w:kern w:val="2"/>
          <w:sz w:val="24"/>
          <w:szCs w:val="24"/>
          <w:lang w:eastAsia="zh-CN"/>
        </w:rPr>
        <w:t>采出水</w:t>
      </w:r>
      <w:r>
        <w:rPr>
          <w:rFonts w:ascii="Times New Roman" w:hAnsi="Times New Roman" w:eastAsia="宋体"/>
          <w:kern w:val="2"/>
          <w:sz w:val="24"/>
          <w:szCs w:val="24"/>
        </w:rPr>
        <w:t>处理设施出水水质中pH、石油类、悬浮物连续</w:t>
      </w:r>
      <w:r>
        <w:rPr>
          <w:rFonts w:hint="eastAsia" w:ascii="Times New Roman" w:hAnsi="Times New Roman" w:eastAsia="宋体"/>
          <w:kern w:val="2"/>
          <w:sz w:val="24"/>
          <w:szCs w:val="24"/>
        </w:rPr>
        <w:t>2</w:t>
      </w:r>
      <w:r>
        <w:rPr>
          <w:rFonts w:ascii="Times New Roman" w:hAnsi="Times New Roman" w:eastAsia="宋体"/>
          <w:kern w:val="2"/>
          <w:sz w:val="24"/>
          <w:szCs w:val="24"/>
        </w:rPr>
        <w:t>天的监测结果均</w:t>
      </w:r>
      <w:r>
        <w:rPr>
          <w:rFonts w:hint="eastAsia" w:ascii="Times New Roman" w:hAnsi="Times New Roman" w:eastAsia="宋体"/>
          <w:kern w:val="2"/>
          <w:sz w:val="24"/>
          <w:szCs w:val="24"/>
        </w:rPr>
        <w:t>满足</w:t>
      </w:r>
      <w:r>
        <w:rPr>
          <w:rFonts w:ascii="Times New Roman" w:hAnsi="Times New Roman" w:eastAsia="宋体"/>
          <w:kern w:val="2"/>
          <w:sz w:val="24"/>
          <w:szCs w:val="24"/>
        </w:rPr>
        <w:t>《长庆油田采出水回注技术指标》（Q/SY CQ 3675-2016）回注</w:t>
      </w:r>
      <w:r>
        <w:rPr>
          <w:rFonts w:hint="eastAsia" w:ascii="Times New Roman" w:hAnsi="Times New Roman" w:eastAsia="宋体"/>
          <w:kern w:val="2"/>
          <w:sz w:val="24"/>
          <w:szCs w:val="24"/>
        </w:rPr>
        <w:t>水质</w:t>
      </w:r>
      <w:r>
        <w:rPr>
          <w:rFonts w:ascii="Times New Roman" w:hAnsi="Times New Roman" w:eastAsia="宋体"/>
          <w:kern w:val="2"/>
          <w:sz w:val="24"/>
          <w:szCs w:val="24"/>
        </w:rPr>
        <w:t>要求</w:t>
      </w:r>
      <w:r>
        <w:rPr>
          <w:rFonts w:hint="eastAsia" w:ascii="Times New Roman" w:hAnsi="Times New Roman" w:eastAsia="宋体"/>
          <w:kern w:val="2"/>
          <w:sz w:val="24"/>
          <w:szCs w:val="24"/>
          <w:lang w:eastAsia="zh-CN"/>
        </w:rPr>
        <w:t>。</w:t>
      </w:r>
    </w:p>
    <w:p>
      <w:pPr>
        <w:pStyle w:val="8"/>
        <w:spacing w:before="0" w:beforeAutospacing="0" w:after="0" w:afterAutospacing="0" w:line="360" w:lineRule="auto"/>
        <w:ind w:firstLine="480" w:firstLineChars="200"/>
        <w:jc w:val="both"/>
        <w:rPr>
          <w:rFonts w:ascii="Times New Roman" w:hAnsi="Times New Roman" w:cs="Times New Roman"/>
        </w:rPr>
      </w:pPr>
      <w:r>
        <w:t>（二）</w:t>
      </w:r>
      <w:r>
        <w:rPr>
          <w:rFonts w:ascii="Times New Roman" w:cs="Times New Roman"/>
        </w:rPr>
        <w:t>废气</w:t>
      </w:r>
    </w:p>
    <w:p>
      <w:pPr>
        <w:widowControl w:val="0"/>
        <w:adjustRightInd/>
        <w:snapToGrid/>
        <w:spacing w:after="0" w:line="360" w:lineRule="auto"/>
        <w:ind w:right="-11" w:firstLine="480" w:firstLineChars="200"/>
        <w:jc w:val="both"/>
        <w:rPr>
          <w:rFonts w:ascii="宋体" w:hAnsi="宋体" w:eastAsia="宋体"/>
          <w:kern w:val="2"/>
          <w:sz w:val="24"/>
          <w:szCs w:val="24"/>
        </w:rPr>
      </w:pPr>
      <w:r>
        <w:rPr>
          <w:rFonts w:hint="eastAsia" w:ascii="宋体" w:hAnsi="宋体" w:eastAsia="宋体"/>
          <w:kern w:val="2"/>
          <w:sz w:val="24"/>
          <w:szCs w:val="24"/>
        </w:rPr>
        <w:t>项目</w:t>
      </w:r>
      <w:r>
        <w:rPr>
          <w:rFonts w:ascii="宋体" w:hAnsi="宋体" w:eastAsia="宋体"/>
          <w:kern w:val="2"/>
          <w:sz w:val="24"/>
          <w:szCs w:val="24"/>
        </w:rPr>
        <w:t>排放的非甲烷总烃浓度连续</w:t>
      </w:r>
      <w:r>
        <w:rPr>
          <w:rFonts w:hint="eastAsia" w:ascii="宋体" w:hAnsi="宋体" w:eastAsia="宋体"/>
          <w:kern w:val="2"/>
          <w:sz w:val="24"/>
          <w:szCs w:val="24"/>
        </w:rPr>
        <w:t>两</w:t>
      </w:r>
      <w:r>
        <w:rPr>
          <w:rFonts w:ascii="宋体" w:hAnsi="宋体" w:eastAsia="宋体"/>
          <w:kern w:val="2"/>
          <w:sz w:val="24"/>
          <w:szCs w:val="24"/>
        </w:rPr>
        <w:t>天符合《大气污染物综合排放标准》GB 16297-1996表2中无组织排放非甲烷总烃监控浓度限值要求</w:t>
      </w:r>
      <w:r>
        <w:rPr>
          <w:rFonts w:hint="eastAsia" w:ascii="宋体" w:hAnsi="宋体" w:eastAsia="宋体"/>
          <w:kern w:val="2"/>
          <w:sz w:val="24"/>
          <w:szCs w:val="24"/>
        </w:rPr>
        <w:t>；燃气锅炉排放废气浓度连续两天符合《锅炉大气污染物排放标准》（DB61/1226-2018）表3中燃气锅炉标准要求。</w:t>
      </w:r>
    </w:p>
    <w:p>
      <w:pPr>
        <w:pStyle w:val="8"/>
        <w:spacing w:before="0" w:beforeAutospacing="0" w:after="0" w:afterAutospacing="0" w:line="360" w:lineRule="auto"/>
        <w:ind w:firstLine="480" w:firstLineChars="200"/>
        <w:jc w:val="both"/>
        <w:outlineLvl w:val="0"/>
        <w:rPr>
          <w:kern w:val="2"/>
        </w:rPr>
      </w:pPr>
      <w:r>
        <w:rPr>
          <w:rFonts w:hint="eastAsia"/>
          <w:kern w:val="2"/>
        </w:rPr>
        <w:t>（三）噪声</w:t>
      </w:r>
    </w:p>
    <w:p>
      <w:pPr>
        <w:pStyle w:val="8"/>
        <w:spacing w:before="0" w:beforeAutospacing="0" w:after="0" w:afterAutospacing="0" w:line="360" w:lineRule="auto"/>
        <w:ind w:firstLine="480" w:firstLineChars="200"/>
        <w:jc w:val="both"/>
        <w:outlineLvl w:val="0"/>
        <w:rPr>
          <w:color w:val="FF0000"/>
          <w:kern w:val="2"/>
        </w:rPr>
      </w:pPr>
      <w:r>
        <w:rPr>
          <w:rFonts w:hint="eastAsia" w:ascii="Times New Roman" w:hAnsi="Times New Roman"/>
        </w:rPr>
        <w:t>根据监测，项目厂界噪声均能满足《工业企业厂界环境噪声排放标准》（</w:t>
      </w:r>
      <w:r>
        <w:rPr>
          <w:rFonts w:ascii="Times New Roman" w:hAnsi="Times New Roman"/>
        </w:rPr>
        <w:t>GB12348-2008</w:t>
      </w:r>
      <w:r>
        <w:rPr>
          <w:rFonts w:hint="eastAsia" w:ascii="Times New Roman" w:hAnsi="Times New Roman"/>
        </w:rPr>
        <w:t>）中的</w:t>
      </w:r>
      <w:r>
        <w:rPr>
          <w:rFonts w:ascii="Times New Roman" w:hAnsi="Times New Roman"/>
        </w:rPr>
        <w:t>2</w:t>
      </w:r>
      <w:r>
        <w:rPr>
          <w:rFonts w:hint="eastAsia" w:ascii="Times New Roman" w:hAnsi="Times New Roman"/>
        </w:rPr>
        <w:t>类</w:t>
      </w:r>
      <w:r>
        <w:rPr>
          <w:rFonts w:hint="eastAsia" w:ascii="Times New Roman"/>
        </w:rPr>
        <w:t>区排放标准要求，噪声防治措施可满足环保要求。</w:t>
      </w:r>
    </w:p>
    <w:p>
      <w:pPr>
        <w:pStyle w:val="8"/>
        <w:spacing w:before="0" w:beforeAutospacing="0" w:after="0" w:afterAutospacing="0" w:line="360" w:lineRule="auto"/>
        <w:ind w:firstLine="480" w:firstLineChars="200"/>
        <w:jc w:val="both"/>
        <w:rPr>
          <w:rFonts w:ascii="Times New Roman" w:hAnsi="Times New Roman" w:cs="Times New Roman"/>
        </w:rPr>
      </w:pPr>
      <w:r>
        <w:rPr>
          <w:rFonts w:ascii="Times New Roman" w:cs="Times New Roman"/>
        </w:rPr>
        <w:t>五、工程建设对环境的影响</w:t>
      </w:r>
    </w:p>
    <w:p>
      <w:pPr>
        <w:pStyle w:val="8"/>
        <w:spacing w:before="0" w:beforeAutospacing="0" w:after="0" w:afterAutospacing="0" w:line="360" w:lineRule="auto"/>
        <w:ind w:firstLine="480" w:firstLineChars="200"/>
        <w:jc w:val="both"/>
        <w:rPr>
          <w:rFonts w:ascii="Times New Roman" w:cs="Times New Roman"/>
        </w:rPr>
      </w:pPr>
      <w:r>
        <w:rPr>
          <w:rFonts w:hint="eastAsia" w:ascii="Times New Roman" w:cs="Times New Roman"/>
        </w:rPr>
        <w:t>项目运行过程中不产生</w:t>
      </w:r>
      <w:r>
        <w:rPr>
          <w:rFonts w:ascii="Times New Roman" w:cs="Times New Roman"/>
        </w:rPr>
        <w:t>废水</w:t>
      </w:r>
      <w:r>
        <w:rPr>
          <w:rFonts w:hint="eastAsia" w:ascii="Times New Roman" w:cs="Times New Roman"/>
        </w:rPr>
        <w:t>，</w:t>
      </w:r>
      <w:r>
        <w:rPr>
          <w:rFonts w:ascii="Times New Roman" w:cs="Times New Roman"/>
        </w:rPr>
        <w:t>废气</w:t>
      </w:r>
      <w:r>
        <w:rPr>
          <w:rFonts w:hint="eastAsia" w:ascii="Times New Roman" w:cs="Times New Roman"/>
        </w:rPr>
        <w:t>、噪声</w:t>
      </w:r>
      <w:r>
        <w:rPr>
          <w:rFonts w:ascii="Times New Roman" w:cs="Times New Roman"/>
        </w:rPr>
        <w:t>排放均能满足验收执行标准要求</w:t>
      </w:r>
      <w:r>
        <w:rPr>
          <w:rFonts w:hint="eastAsia" w:ascii="Times New Roman" w:cs="Times New Roman"/>
        </w:rPr>
        <w:t>，</w:t>
      </w:r>
      <w:r>
        <w:rPr>
          <w:rFonts w:ascii="Times New Roman" w:cs="Times New Roman"/>
        </w:rPr>
        <w:t>项目建设对环境空气</w:t>
      </w:r>
      <w:r>
        <w:rPr>
          <w:rFonts w:hint="eastAsia" w:ascii="Times New Roman" w:cs="Times New Roman"/>
        </w:rPr>
        <w:t>、水环境及声环境</w:t>
      </w:r>
      <w:r>
        <w:rPr>
          <w:rFonts w:ascii="Times New Roman" w:cs="Times New Roman"/>
        </w:rPr>
        <w:t>的影响较小。</w:t>
      </w:r>
    </w:p>
    <w:p>
      <w:pPr>
        <w:pStyle w:val="8"/>
        <w:spacing w:before="0" w:beforeAutospacing="0" w:after="0" w:afterAutospacing="0" w:line="360" w:lineRule="auto"/>
        <w:ind w:firstLine="480" w:firstLineChars="200"/>
        <w:jc w:val="both"/>
      </w:pPr>
      <w:r>
        <w:t>六、验收结论</w:t>
      </w:r>
    </w:p>
    <w:p>
      <w:pPr>
        <w:spacing w:line="360" w:lineRule="auto"/>
        <w:ind w:right="-11" w:firstLine="480" w:firstLineChars="200"/>
        <w:rPr>
          <w:rFonts w:ascii="宋体" w:hAnsi="宋体"/>
          <w:sz w:val="24"/>
          <w:szCs w:val="24"/>
        </w:rPr>
      </w:pPr>
      <w:r>
        <w:rPr>
          <w:rFonts w:ascii="宋体" w:hAnsi="宋体"/>
          <w:sz w:val="24"/>
          <w:szCs w:val="24"/>
        </w:rPr>
        <w:t>项目设计、施工和运行期采取了行之有效的污染防治措施，环境影响报告表及批复要求的污染防治及生态保护措施基本落实，经监测污染物排放符合相关标准。</w:t>
      </w:r>
      <w:r>
        <w:rPr>
          <w:rFonts w:hint="eastAsia" w:ascii="宋体" w:hAnsi="宋体"/>
          <w:sz w:val="24"/>
          <w:szCs w:val="24"/>
        </w:rPr>
        <w:t>同意通过环保验收。</w:t>
      </w:r>
    </w:p>
    <w:p>
      <w:pPr>
        <w:spacing w:line="360" w:lineRule="auto"/>
        <w:ind w:right="-11" w:firstLine="480" w:firstLineChars="200"/>
        <w:rPr>
          <w:sz w:val="24"/>
          <w:szCs w:val="24"/>
        </w:rPr>
      </w:pPr>
      <w:r>
        <w:rPr>
          <w:sz w:val="24"/>
          <w:szCs w:val="24"/>
        </w:rPr>
        <w:t>七</w:t>
      </w:r>
      <w:r>
        <w:rPr>
          <w:rFonts w:hint="eastAsia"/>
          <w:sz w:val="24"/>
          <w:szCs w:val="24"/>
        </w:rPr>
        <w:t>、</w:t>
      </w:r>
      <w:r>
        <w:rPr>
          <w:sz w:val="24"/>
          <w:szCs w:val="24"/>
        </w:rPr>
        <w:t>后续要求</w:t>
      </w:r>
    </w:p>
    <w:p>
      <w:pPr>
        <w:spacing w:beforeLines="20" w:line="360" w:lineRule="auto"/>
        <w:ind w:firstLine="480" w:firstLineChars="200"/>
        <w:rPr>
          <w:rFonts w:eastAsia="仿宋_GB2312"/>
          <w:color w:val="000000"/>
          <w:szCs w:val="21"/>
        </w:rPr>
      </w:pPr>
      <w:r>
        <w:rPr>
          <w:rFonts w:hint="eastAsia"/>
          <w:sz w:val="24"/>
          <w:szCs w:val="24"/>
        </w:rPr>
        <w:t>加强密闭生产管理和设备的检修、维护，及时更换易损部件，将项目无组织废气污染降至最小，杜绝非正常排放发生。</w:t>
      </w:r>
    </w:p>
    <w:p>
      <w:pPr>
        <w:pStyle w:val="8"/>
        <w:spacing w:before="0" w:beforeAutospacing="0" w:after="0" w:afterAutospacing="0" w:line="360" w:lineRule="auto"/>
        <w:ind w:firstLine="480" w:firstLineChars="200"/>
        <w:jc w:val="both"/>
        <w:rPr>
          <w:rFonts w:ascii="Times New Roman" w:hAnsi="Times New Roman" w:cs="Times New Roman"/>
        </w:rPr>
      </w:pPr>
      <w:r>
        <w:rPr>
          <w:rFonts w:ascii="Times New Roman" w:cs="Times New Roman"/>
        </w:rPr>
        <w:t>八、验收人员信息</w:t>
      </w:r>
    </w:p>
    <w:p>
      <w:pPr>
        <w:pStyle w:val="8"/>
        <w:spacing w:before="0" w:beforeAutospacing="0" w:after="0" w:afterAutospacing="0" w:line="360" w:lineRule="auto"/>
        <w:ind w:firstLine="480" w:firstLineChars="200"/>
        <w:jc w:val="both"/>
        <w:rPr>
          <w:rFonts w:ascii="Times New Roman" w:cs="Times New Roman"/>
        </w:rPr>
      </w:pPr>
      <w:r>
        <w:rPr>
          <w:rFonts w:ascii="Times New Roman" w:cs="Times New Roman"/>
        </w:rPr>
        <w:t>参加验收的单位及人员名单附后。</w:t>
      </w:r>
    </w:p>
    <w:p>
      <w:pPr>
        <w:pStyle w:val="8"/>
        <w:spacing w:before="0" w:beforeAutospacing="0" w:after="0" w:afterAutospacing="0" w:line="360" w:lineRule="auto"/>
        <w:ind w:firstLine="480" w:firstLineChars="200"/>
        <w:jc w:val="both"/>
        <w:rPr>
          <w:rFonts w:ascii="Times New Roman" w:hAnsi="Times New Roman" w:cs="Times New Roman"/>
          <w:color w:val="FF0000"/>
        </w:rPr>
      </w:pPr>
    </w:p>
    <w:p>
      <w:pPr>
        <w:pStyle w:val="8"/>
        <w:spacing w:before="0" w:beforeAutospacing="0" w:after="0" w:afterAutospacing="0" w:line="360" w:lineRule="auto"/>
        <w:ind w:firstLine="480" w:firstLineChars="200"/>
        <w:jc w:val="both"/>
        <w:rPr>
          <w:rFonts w:ascii="Times New Roman" w:hAnsi="Times New Roman" w:cs="Times New Roman"/>
          <w:color w:val="FF0000"/>
        </w:rPr>
      </w:pPr>
    </w:p>
    <w:p>
      <w:pPr>
        <w:pStyle w:val="8"/>
        <w:spacing w:before="0" w:beforeAutospacing="0" w:after="0" w:afterAutospacing="0" w:line="360" w:lineRule="exact"/>
        <w:ind w:right="480" w:firstLine="480" w:firstLineChars="200"/>
        <w:jc w:val="center"/>
        <w:rPr>
          <w:rFonts w:ascii="Times New Roman" w:hAnsi="Times New Roman" w:cs="Times New Roman"/>
        </w:rPr>
      </w:pPr>
      <w:r>
        <w:rPr>
          <w:rFonts w:hint="eastAsia" w:ascii="Times New Roman" w:hAnsi="Times New Roman" w:cs="Times New Roman"/>
          <w:bCs/>
          <w:color w:val="FF0000"/>
        </w:rPr>
        <w:t xml:space="preserve">                       </w:t>
      </w:r>
      <w:r>
        <w:rPr>
          <w:rFonts w:hint="eastAsia" w:ascii="Times New Roman" w:hAnsi="Times New Roman" w:cs="Times New Roman"/>
          <w:bCs/>
        </w:rPr>
        <w:t xml:space="preserve">          </w:t>
      </w:r>
      <w:r>
        <w:rPr>
          <w:rFonts w:ascii="Times New Roman" w:hAnsi="Times New Roman" w:cs="Times New Roman"/>
          <w:bCs/>
        </w:rPr>
        <w:t>长庆油田分公司</w:t>
      </w:r>
      <w:r>
        <w:rPr>
          <w:rFonts w:hint="eastAsia" w:ascii="Times New Roman" w:hAnsi="Times New Roman" w:cs="Times New Roman"/>
          <w:bCs/>
        </w:rPr>
        <w:t>第</w:t>
      </w:r>
      <w:r>
        <w:rPr>
          <w:rFonts w:hint="eastAsia" w:ascii="Times New Roman" w:hAnsi="Times New Roman" w:cs="Times New Roman"/>
          <w:bCs/>
          <w:lang w:eastAsia="zh-CN"/>
        </w:rPr>
        <w:t>八</w:t>
      </w:r>
      <w:r>
        <w:rPr>
          <w:rFonts w:hint="eastAsia" w:ascii="Times New Roman" w:hAnsi="Times New Roman" w:cs="Times New Roman"/>
          <w:bCs/>
        </w:rPr>
        <w:t>采油厂</w:t>
      </w:r>
    </w:p>
    <w:p>
      <w:pPr>
        <w:pStyle w:val="8"/>
        <w:spacing w:before="0" w:beforeAutospacing="0" w:after="0" w:afterAutospacing="0" w:line="360" w:lineRule="exact"/>
        <w:ind w:right="1080" w:firstLine="480" w:firstLineChars="200"/>
        <w:jc w:val="right"/>
        <w:rPr>
          <w:rFonts w:ascii="Times New Roman" w:cs="Times New Roman"/>
          <w:highlight w:val="none"/>
        </w:rPr>
      </w:pPr>
      <w:r>
        <w:rPr>
          <w:rFonts w:ascii="Times New Roman" w:hAnsi="Times New Roman" w:cs="Times New Roman"/>
          <w:highlight w:val="none"/>
        </w:rPr>
        <w:t>20</w:t>
      </w:r>
      <w:r>
        <w:rPr>
          <w:rFonts w:hint="eastAsia" w:ascii="Times New Roman" w:hAnsi="Times New Roman" w:cs="Times New Roman"/>
          <w:highlight w:val="none"/>
        </w:rPr>
        <w:t>2</w:t>
      </w:r>
      <w:r>
        <w:rPr>
          <w:rFonts w:hint="eastAsia" w:ascii="Times New Roman" w:hAnsi="Times New Roman" w:cs="Times New Roman"/>
          <w:highlight w:val="none"/>
          <w:lang w:val="en-US" w:eastAsia="zh-CN"/>
        </w:rPr>
        <w:t>1</w:t>
      </w:r>
      <w:r>
        <w:rPr>
          <w:rFonts w:ascii="Times New Roman" w:cs="Times New Roman"/>
          <w:highlight w:val="none"/>
        </w:rPr>
        <w:t>年</w:t>
      </w:r>
      <w:r>
        <w:rPr>
          <w:rFonts w:hint="eastAsia" w:ascii="Times New Roman" w:hAnsi="Times New Roman" w:cs="Times New Roman"/>
          <w:highlight w:val="none"/>
          <w:lang w:val="en-US" w:eastAsia="zh-CN"/>
        </w:rPr>
        <w:t>12</w:t>
      </w:r>
      <w:r>
        <w:rPr>
          <w:rFonts w:ascii="Times New Roman" w:cs="Times New Roman"/>
          <w:highlight w:val="none"/>
        </w:rPr>
        <w:t>月</w:t>
      </w:r>
      <w:r>
        <w:rPr>
          <w:rFonts w:hint="eastAsia" w:ascii="Times New Roman" w:hAnsi="Times New Roman" w:cs="Times New Roman"/>
          <w:highlight w:val="none"/>
          <w:lang w:val="en-US" w:eastAsia="zh-CN"/>
        </w:rPr>
        <w:t>25</w:t>
      </w:r>
      <w:bookmarkStart w:id="0" w:name="_GoBack"/>
      <w:bookmarkEnd w:id="0"/>
      <w:r>
        <w:rPr>
          <w:rFonts w:ascii="Times New Roman" w:cs="Times New Roman"/>
          <w:highlight w:val="none"/>
        </w:rPr>
        <w:t>日</w:t>
      </w: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ascii="Times New Roman" w:cs="Times New Roman"/>
        </w:rPr>
      </w:pPr>
    </w:p>
    <w:p>
      <w:pPr>
        <w:pStyle w:val="8"/>
        <w:spacing w:before="0" w:beforeAutospacing="0" w:after="0" w:afterAutospacing="0" w:line="360" w:lineRule="exact"/>
        <w:ind w:right="1080" w:firstLine="480" w:firstLineChars="200"/>
        <w:jc w:val="right"/>
        <w:rPr>
          <w:rFonts w:hint="eastAsia" w:ascii="Times New Roman" w:cs="Times New Roman"/>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CF5"/>
    <w:rsid w:val="00027E0E"/>
    <w:rsid w:val="00040CD8"/>
    <w:rsid w:val="000C3592"/>
    <w:rsid w:val="000E5E67"/>
    <w:rsid w:val="001004D3"/>
    <w:rsid w:val="001211CF"/>
    <w:rsid w:val="001558BB"/>
    <w:rsid w:val="00172A27"/>
    <w:rsid w:val="001A324C"/>
    <w:rsid w:val="001A39BD"/>
    <w:rsid w:val="002039B4"/>
    <w:rsid w:val="00204214"/>
    <w:rsid w:val="0021307B"/>
    <w:rsid w:val="00217306"/>
    <w:rsid w:val="00220890"/>
    <w:rsid w:val="0025422A"/>
    <w:rsid w:val="00270A65"/>
    <w:rsid w:val="00286EED"/>
    <w:rsid w:val="002F36DA"/>
    <w:rsid w:val="00302C56"/>
    <w:rsid w:val="0033269D"/>
    <w:rsid w:val="00365A6C"/>
    <w:rsid w:val="00373E77"/>
    <w:rsid w:val="00383BF1"/>
    <w:rsid w:val="003A2F2B"/>
    <w:rsid w:val="003E6DC4"/>
    <w:rsid w:val="00413A61"/>
    <w:rsid w:val="00425881"/>
    <w:rsid w:val="00435312"/>
    <w:rsid w:val="004777A2"/>
    <w:rsid w:val="004C3654"/>
    <w:rsid w:val="004E3AE2"/>
    <w:rsid w:val="004E6610"/>
    <w:rsid w:val="004F0B0E"/>
    <w:rsid w:val="004F430C"/>
    <w:rsid w:val="005207BB"/>
    <w:rsid w:val="00551E21"/>
    <w:rsid w:val="00562182"/>
    <w:rsid w:val="0057014A"/>
    <w:rsid w:val="005E1238"/>
    <w:rsid w:val="005F3697"/>
    <w:rsid w:val="006367E8"/>
    <w:rsid w:val="00640FE3"/>
    <w:rsid w:val="006834F4"/>
    <w:rsid w:val="00713D0C"/>
    <w:rsid w:val="00753F2D"/>
    <w:rsid w:val="00761CDD"/>
    <w:rsid w:val="00782372"/>
    <w:rsid w:val="00792C30"/>
    <w:rsid w:val="007E3192"/>
    <w:rsid w:val="0082348B"/>
    <w:rsid w:val="00872171"/>
    <w:rsid w:val="00936731"/>
    <w:rsid w:val="00943266"/>
    <w:rsid w:val="00950C37"/>
    <w:rsid w:val="009540C1"/>
    <w:rsid w:val="00995537"/>
    <w:rsid w:val="00996B7B"/>
    <w:rsid w:val="00A13E83"/>
    <w:rsid w:val="00A46C28"/>
    <w:rsid w:val="00A8057B"/>
    <w:rsid w:val="00B00299"/>
    <w:rsid w:val="00B11CC0"/>
    <w:rsid w:val="00B17396"/>
    <w:rsid w:val="00B619C6"/>
    <w:rsid w:val="00B750E4"/>
    <w:rsid w:val="00B76500"/>
    <w:rsid w:val="00B810DD"/>
    <w:rsid w:val="00BB42A2"/>
    <w:rsid w:val="00BE17F2"/>
    <w:rsid w:val="00C06601"/>
    <w:rsid w:val="00C8618C"/>
    <w:rsid w:val="00C92237"/>
    <w:rsid w:val="00CA05EF"/>
    <w:rsid w:val="00CB3F25"/>
    <w:rsid w:val="00D1554B"/>
    <w:rsid w:val="00D34D70"/>
    <w:rsid w:val="00D87CB0"/>
    <w:rsid w:val="00DA0D21"/>
    <w:rsid w:val="00DA6517"/>
    <w:rsid w:val="00DB08A8"/>
    <w:rsid w:val="00DC015E"/>
    <w:rsid w:val="00DD4BED"/>
    <w:rsid w:val="00DF33C3"/>
    <w:rsid w:val="00E03EFC"/>
    <w:rsid w:val="00E304F0"/>
    <w:rsid w:val="00E31A94"/>
    <w:rsid w:val="00E5443B"/>
    <w:rsid w:val="00EA5010"/>
    <w:rsid w:val="00EE0CD1"/>
    <w:rsid w:val="00EE45DF"/>
    <w:rsid w:val="00FB2DF3"/>
    <w:rsid w:val="00FB6442"/>
    <w:rsid w:val="1AE85281"/>
    <w:rsid w:val="22606818"/>
    <w:rsid w:val="298C62EA"/>
    <w:rsid w:val="319B4C90"/>
    <w:rsid w:val="4007389D"/>
    <w:rsid w:val="463D5213"/>
    <w:rsid w:val="485303D4"/>
    <w:rsid w:val="51A218F4"/>
    <w:rsid w:val="52854A3A"/>
    <w:rsid w:val="58507F67"/>
    <w:rsid w:val="5F033682"/>
    <w:rsid w:val="63DA4855"/>
    <w:rsid w:val="6B9C02FB"/>
    <w:rsid w:val="732F6BE3"/>
    <w:rsid w:val="7CF43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outlineLvl w:val="1"/>
    </w:pPr>
    <w:rPr>
      <w:rFonts w:ascii="Arial" w:hAnsi="Arial"/>
      <w:b/>
      <w:bCs/>
      <w:sz w:val="28"/>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footer"/>
    <w:basedOn w:val="1"/>
    <w:link w:val="18"/>
    <w:qFormat/>
    <w:uiPriority w:val="99"/>
    <w:pPr>
      <w:tabs>
        <w:tab w:val="center" w:pos="4153"/>
        <w:tab w:val="right" w:pos="8306"/>
      </w:tabs>
      <w:snapToGrid w:val="0"/>
      <w:jc w:val="left"/>
    </w:pPr>
    <w:rPr>
      <w:sz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0">
    <w:name w:val="页眉 Char"/>
    <w:basedOn w:val="7"/>
    <w:link w:val="5"/>
    <w:semiHidden/>
    <w:qFormat/>
    <w:uiPriority w:val="0"/>
    <w:rPr>
      <w:rFonts w:eastAsia="宋体"/>
      <w:kern w:val="2"/>
      <w:sz w:val="18"/>
      <w:lang w:val="en-US" w:eastAsia="zh-CN" w:bidi="ar-SA"/>
    </w:rPr>
  </w:style>
  <w:style w:type="paragraph" w:customStyle="1" w:styleId="11">
    <w:name w:val="_Style 3"/>
    <w:basedOn w:val="1"/>
    <w:qFormat/>
    <w:uiPriority w:val="0"/>
    <w:pPr>
      <w:spacing w:line="360" w:lineRule="auto"/>
      <w:ind w:firstLine="200" w:firstLineChars="200"/>
    </w:pPr>
    <w:rPr>
      <w:rFonts w:ascii="宋体" w:hAnsi="宋体" w:cs="宋体"/>
      <w:sz w:val="24"/>
      <w:szCs w:val="24"/>
    </w:rPr>
  </w:style>
  <w:style w:type="character" w:customStyle="1" w:styleId="12">
    <w:name w:val="纯文本 Char1"/>
    <w:link w:val="13"/>
    <w:qFormat/>
    <w:uiPriority w:val="0"/>
    <w:rPr>
      <w:rFonts w:ascii="宋体" w:hAnsi="Courier New" w:eastAsia="宋体"/>
      <w:kern w:val="2"/>
      <w:sz w:val="21"/>
      <w:lang w:bidi="ar-SA"/>
    </w:rPr>
  </w:style>
  <w:style w:type="paragraph" w:customStyle="1" w:styleId="13">
    <w:name w:val="纯文本1"/>
    <w:basedOn w:val="1"/>
    <w:link w:val="12"/>
    <w:qFormat/>
    <w:uiPriority w:val="0"/>
    <w:rPr>
      <w:rFonts w:ascii="宋体" w:hAnsi="Courier New"/>
    </w:rPr>
  </w:style>
  <w:style w:type="paragraph" w:customStyle="1" w:styleId="14">
    <w:name w:val="Hu表头"/>
    <w:basedOn w:val="1"/>
    <w:qFormat/>
    <w:uiPriority w:val="0"/>
    <w:pPr>
      <w:adjustRightInd w:val="0"/>
      <w:snapToGrid w:val="0"/>
      <w:jc w:val="center"/>
      <w:textAlignment w:val="baseline"/>
    </w:pPr>
    <w:rPr>
      <w:rFonts w:ascii="宋体" w:hAnsi="宋体"/>
      <w:b/>
      <w:sz w:val="24"/>
    </w:rPr>
  </w:style>
  <w:style w:type="character" w:customStyle="1" w:styleId="15">
    <w:name w:val="正文文本缩进 2 Char"/>
    <w:link w:val="16"/>
    <w:qFormat/>
    <w:uiPriority w:val="0"/>
    <w:rPr>
      <w:rFonts w:eastAsia="仿宋_GB2312"/>
      <w:sz w:val="28"/>
      <w:lang w:bidi="ar-SA"/>
    </w:rPr>
  </w:style>
  <w:style w:type="paragraph" w:customStyle="1" w:styleId="16">
    <w:name w:val="正文文本缩进 21"/>
    <w:basedOn w:val="1"/>
    <w:link w:val="15"/>
    <w:qFormat/>
    <w:uiPriority w:val="0"/>
    <w:pPr>
      <w:adjustRightInd w:val="0"/>
      <w:spacing w:line="312" w:lineRule="atLeast"/>
      <w:ind w:firstLine="570"/>
      <w:jc w:val="distribute"/>
      <w:textAlignment w:val="baseline"/>
    </w:pPr>
    <w:rPr>
      <w:rFonts w:eastAsia="仿宋_GB2312"/>
      <w:kern w:val="0"/>
      <w:sz w:val="28"/>
    </w:rPr>
  </w:style>
  <w:style w:type="paragraph" w:customStyle="1" w:styleId="17">
    <w:name w:val="列出段落1"/>
    <w:basedOn w:val="1"/>
    <w:qFormat/>
    <w:uiPriority w:val="34"/>
    <w:pPr>
      <w:ind w:firstLine="420" w:firstLineChars="200"/>
    </w:pPr>
  </w:style>
  <w:style w:type="character" w:customStyle="1" w:styleId="18">
    <w:name w:val="页脚 Char"/>
    <w:basedOn w:val="7"/>
    <w:link w:val="4"/>
    <w:qFormat/>
    <w:uiPriority w:val="99"/>
    <w:rPr>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1602</Words>
  <Characters>1741</Characters>
  <Lines>12</Lines>
  <Paragraphs>3</Paragraphs>
  <TotalTime>0</TotalTime>
  <ScaleCrop>false</ScaleCrop>
  <LinksUpToDate>false</LinksUpToDate>
  <CharactersWithSpaces>1775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2018-12-07T08:22:00Z</dcterms:created>
  <dc:creator>Administrator</dc:creator>
  <cp:lastModifiedBy>Administrator</cp:lastModifiedBy>
  <dcterms:modified xsi:type="dcterms:W3CDTF">2022-02-28T02:08:16Z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AFA22E01B72146F996F7D124D7AC5F97</vt:lpwstr>
  </property>
</Properties>
</file>